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DF4" w:rsidRDefault="00C55C4D" w:rsidP="00D22DF4">
      <w:pPr>
        <w:tabs>
          <w:tab w:val="left" w:pos="2490"/>
          <w:tab w:val="center" w:pos="4536"/>
        </w:tabs>
        <w:autoSpaceDE w:val="0"/>
        <w:autoSpaceDN w:val="0"/>
        <w:adjustRightInd w:val="0"/>
        <w:spacing w:line="240" w:lineRule="auto"/>
        <w:rPr>
          <w:rFonts w:asciiTheme="minorHAnsi" w:hAnsiTheme="minorHAnsi" w:cs="Calibri"/>
          <w:b/>
          <w:sz w:val="24"/>
          <w:szCs w:val="24"/>
        </w:rPr>
      </w:pPr>
      <w:bookmarkStart w:id="0" w:name="_Toc426632922"/>
      <w:bookmarkStart w:id="1" w:name="_Toc430826826"/>
      <w:bookmarkStart w:id="2" w:name="_Toc432758974"/>
      <w:r w:rsidRPr="00C55C4D">
        <w:rPr>
          <w:rFonts w:asciiTheme="minorHAnsi" w:hAnsiTheme="minorHAnsi" w:cs="Calibri"/>
          <w:b/>
          <w:sz w:val="24"/>
          <w:szCs w:val="24"/>
        </w:rPr>
        <w:tab/>
      </w:r>
      <w:r w:rsidRPr="00C55C4D">
        <w:rPr>
          <w:rFonts w:asciiTheme="minorHAnsi" w:hAnsiTheme="minorHAnsi" w:cs="Calibri"/>
          <w:b/>
          <w:sz w:val="24"/>
          <w:szCs w:val="24"/>
        </w:rPr>
        <w:tab/>
      </w:r>
      <w:r w:rsidR="009D3C56" w:rsidRPr="00C55C4D">
        <w:rPr>
          <w:rFonts w:asciiTheme="minorHAnsi" w:hAnsiTheme="minorHAnsi" w:cs="Calibri"/>
          <w:b/>
          <w:sz w:val="24"/>
          <w:szCs w:val="24"/>
        </w:rPr>
        <w:t xml:space="preserve">Lista </w:t>
      </w:r>
      <w:r w:rsidR="00D22DF4">
        <w:rPr>
          <w:rFonts w:asciiTheme="minorHAnsi" w:hAnsiTheme="minorHAnsi" w:cs="Calibri"/>
          <w:b/>
          <w:sz w:val="24"/>
          <w:szCs w:val="24"/>
        </w:rPr>
        <w:t>wskaźników na poziomie projektu</w:t>
      </w:r>
    </w:p>
    <w:p w:rsidR="00C846FF" w:rsidRDefault="009D3C56" w:rsidP="00D22DF4">
      <w:pPr>
        <w:tabs>
          <w:tab w:val="left" w:pos="2490"/>
          <w:tab w:val="center" w:pos="4536"/>
        </w:tabs>
        <w:autoSpaceDE w:val="0"/>
        <w:autoSpaceDN w:val="0"/>
        <w:adjustRightInd w:val="0"/>
        <w:spacing w:line="240" w:lineRule="auto"/>
        <w:jc w:val="center"/>
        <w:rPr>
          <w:rFonts w:asciiTheme="minorHAnsi" w:hAnsiTheme="minorHAnsi" w:cs="Arial"/>
          <w:sz w:val="24"/>
          <w:szCs w:val="24"/>
        </w:rPr>
      </w:pPr>
      <w:r w:rsidRPr="00C55C4D">
        <w:rPr>
          <w:rFonts w:asciiTheme="minorHAnsi" w:hAnsiTheme="minorHAnsi" w:cs="Calibri"/>
          <w:b/>
          <w:sz w:val="24"/>
          <w:szCs w:val="24"/>
        </w:rPr>
        <w:t xml:space="preserve">dla </w:t>
      </w:r>
      <w:r w:rsidR="00B4211B">
        <w:rPr>
          <w:rFonts w:asciiTheme="minorHAnsi" w:hAnsiTheme="minorHAnsi" w:cs="Calibri"/>
          <w:b/>
          <w:sz w:val="24"/>
          <w:szCs w:val="24"/>
        </w:rPr>
        <w:t>D</w:t>
      </w:r>
      <w:r w:rsidRPr="00C55C4D">
        <w:rPr>
          <w:rFonts w:asciiTheme="minorHAnsi" w:hAnsiTheme="minorHAnsi" w:cs="Calibri"/>
          <w:b/>
          <w:sz w:val="24"/>
          <w:szCs w:val="24"/>
        </w:rPr>
        <w:t xml:space="preserve">ziałania </w:t>
      </w:r>
      <w:r w:rsidR="00332CDB" w:rsidRPr="00C55C4D">
        <w:rPr>
          <w:rFonts w:asciiTheme="minorHAnsi" w:hAnsiTheme="minorHAnsi" w:cs="Calibri"/>
          <w:b/>
          <w:sz w:val="24"/>
          <w:szCs w:val="24"/>
        </w:rPr>
        <w:t>1.</w:t>
      </w:r>
      <w:r w:rsidR="00C846FF">
        <w:rPr>
          <w:rFonts w:asciiTheme="minorHAnsi" w:hAnsiTheme="minorHAnsi" w:cs="Calibri"/>
          <w:b/>
          <w:sz w:val="24"/>
          <w:szCs w:val="24"/>
        </w:rPr>
        <w:t xml:space="preserve">4 </w:t>
      </w:r>
      <w:r w:rsidR="00B4211B">
        <w:rPr>
          <w:rFonts w:asciiTheme="minorHAnsi" w:hAnsiTheme="minorHAnsi" w:cs="Calibri"/>
          <w:b/>
          <w:sz w:val="24"/>
          <w:szCs w:val="24"/>
        </w:rPr>
        <w:t xml:space="preserve">B, Schematu 1.4 B </w:t>
      </w:r>
      <w:r w:rsidR="003B68B0">
        <w:rPr>
          <w:rFonts w:asciiTheme="minorHAnsi" w:hAnsiTheme="minorHAnsi" w:cs="Calibri"/>
          <w:b/>
          <w:sz w:val="24"/>
          <w:szCs w:val="24"/>
        </w:rPr>
        <w:t>c</w:t>
      </w:r>
      <w:r w:rsidR="00F96294">
        <w:rPr>
          <w:rFonts w:asciiTheme="minorHAnsi" w:hAnsiTheme="minorHAnsi" w:cs="Calibri"/>
          <w:b/>
          <w:sz w:val="24"/>
          <w:szCs w:val="24"/>
        </w:rPr>
        <w:t xml:space="preserve"> </w:t>
      </w:r>
      <w:r w:rsidR="00F96294" w:rsidRPr="00F96294">
        <w:rPr>
          <w:rFonts w:asciiTheme="minorHAnsi" w:hAnsiTheme="minorHAnsi" w:cs="Calibri"/>
          <w:b/>
          <w:sz w:val="24"/>
          <w:szCs w:val="22"/>
        </w:rPr>
        <w:t>RPO WD 2014-2020</w:t>
      </w:r>
    </w:p>
    <w:p w:rsidR="00F96294" w:rsidRPr="00F96294" w:rsidRDefault="00F96294" w:rsidP="00F96294">
      <w:pPr>
        <w:widowControl w:val="0"/>
        <w:spacing w:line="360" w:lineRule="auto"/>
        <w:jc w:val="center"/>
        <w:rPr>
          <w:rFonts w:asciiTheme="minorHAnsi" w:hAnsiTheme="minorHAnsi"/>
          <w:b/>
          <w:szCs w:val="22"/>
        </w:rPr>
      </w:pPr>
      <w:r w:rsidRPr="00F96294">
        <w:rPr>
          <w:rFonts w:asciiTheme="minorHAnsi" w:hAnsiTheme="minorHAnsi" w:cs="Arial"/>
          <w:b/>
          <w:szCs w:val="22"/>
        </w:rPr>
        <w:t>Zwiększenie międzynarodowej ekspansji MŚP poprzez wdrożenie nowych modeli biznesowych oraz zwiększenia ekspansji na rynki zewnętrzne</w:t>
      </w:r>
    </w:p>
    <w:p w:rsidR="003B68B0" w:rsidRPr="003B68B0" w:rsidRDefault="003B68B0" w:rsidP="003B68B0">
      <w:pPr>
        <w:autoSpaceDE w:val="0"/>
        <w:autoSpaceDN w:val="0"/>
        <w:spacing w:before="120" w:after="120" w:line="240" w:lineRule="auto"/>
        <w:jc w:val="center"/>
        <w:rPr>
          <w:rFonts w:asciiTheme="minorHAnsi" w:hAnsiTheme="minorHAnsi" w:cs="Arial"/>
          <w:szCs w:val="22"/>
        </w:rPr>
      </w:pPr>
      <w:r w:rsidRPr="003B68B0">
        <w:rPr>
          <w:rFonts w:asciiTheme="minorHAnsi" w:hAnsiTheme="minorHAnsi" w:cs="Arial"/>
          <w:szCs w:val="22"/>
        </w:rPr>
        <w:t>c) projekty dotyczące nawiązywania i utrzymywania kontaktów gospodarczych oraz promocji przedsiębiorstw na rynkach krajowych i międzynarodowych – wdrażające Plany rozwoju eksportu /internacjonalizacji przedsiębiorstwa</w:t>
      </w:r>
    </w:p>
    <w:p w:rsidR="00CF69D1" w:rsidRPr="00C55C4D" w:rsidRDefault="00CF69D1" w:rsidP="00D22DF4">
      <w:pPr>
        <w:autoSpaceDE w:val="0"/>
        <w:autoSpaceDN w:val="0"/>
        <w:spacing w:before="120" w:after="120" w:line="240" w:lineRule="auto"/>
        <w:jc w:val="center"/>
        <w:rPr>
          <w:rFonts w:asciiTheme="minorHAnsi" w:eastAsiaTheme="minorHAnsi" w:hAnsiTheme="minorHAnsi" w:cs="Calibri"/>
          <w:szCs w:val="22"/>
          <w:lang w:eastAsia="en-US"/>
        </w:rPr>
      </w:pPr>
    </w:p>
    <w:bookmarkEnd w:id="0"/>
    <w:bookmarkEnd w:id="1"/>
    <w:bookmarkEnd w:id="2"/>
    <w:p w:rsidR="00DF6D97" w:rsidRPr="00C55C4D" w:rsidRDefault="00DF6D97" w:rsidP="00DF6D97">
      <w:pPr>
        <w:autoSpaceDE w:val="0"/>
        <w:autoSpaceDN w:val="0"/>
        <w:spacing w:before="120" w:after="120" w:line="240" w:lineRule="auto"/>
        <w:jc w:val="both"/>
        <w:rPr>
          <w:rFonts w:asciiTheme="minorHAnsi" w:eastAsiaTheme="minorHAnsi" w:hAnsiTheme="minorHAnsi" w:cs="Calibri"/>
          <w:szCs w:val="22"/>
          <w:lang w:eastAsia="en-US"/>
        </w:rPr>
      </w:pPr>
      <w:r w:rsidRPr="00C55C4D">
        <w:rPr>
          <w:rFonts w:asciiTheme="minorHAnsi" w:eastAsiaTheme="minorHAnsi" w:hAnsiTheme="minorHAnsi" w:cs="Calibri"/>
          <w:szCs w:val="22"/>
          <w:lang w:eastAsia="en-US"/>
        </w:rPr>
        <w:t xml:space="preserve">Główną funkcją wskaźników jest zmierzenie, na ile cel główny projektu zostały zrealizowany. Wskaźniki służą ilościowej prezentacji działań podjętych w ramach projektu i ich rezultatów.  W trakcie realizacji projektu wskaźniki powinny umożliwiać mierzenie jego postępu względem celów projektu. </w:t>
      </w:r>
    </w:p>
    <w:p w:rsidR="00DF6D97" w:rsidRPr="00C55C4D" w:rsidRDefault="00DF6D97" w:rsidP="00DF6D97">
      <w:pPr>
        <w:autoSpaceDE w:val="0"/>
        <w:autoSpaceDN w:val="0"/>
        <w:spacing w:before="120" w:after="120" w:line="240" w:lineRule="auto"/>
        <w:jc w:val="both"/>
        <w:rPr>
          <w:rFonts w:asciiTheme="minorHAnsi" w:hAnsiTheme="minorHAnsi"/>
          <w:szCs w:val="22"/>
        </w:rPr>
      </w:pPr>
      <w:r w:rsidRPr="00C55C4D">
        <w:rPr>
          <w:rFonts w:asciiTheme="minorHAnsi" w:eastAsiaTheme="minorHAnsi" w:hAnsiTheme="minorHAnsi" w:cs="Calibri"/>
          <w:szCs w:val="22"/>
          <w:lang w:eastAsia="en-US"/>
        </w:rPr>
        <w:t xml:space="preserve">Wybór wskaźników projektu powinien być powiązany z typem realizowanego przedsięwzięcia </w:t>
      </w:r>
      <w:r w:rsidRPr="00C55C4D">
        <w:rPr>
          <w:rFonts w:asciiTheme="minorHAnsi" w:eastAsiaTheme="minorHAnsi" w:hAnsiTheme="minorHAnsi" w:cs="Calibri"/>
          <w:szCs w:val="22"/>
          <w:lang w:eastAsia="en-US"/>
        </w:rPr>
        <w:br/>
        <w:t xml:space="preserve">i planowanymi działaniami, które Wnioskodawca zamierza podjąć w ramach projektu. </w:t>
      </w:r>
      <w:r w:rsidRPr="00C55C4D">
        <w:rPr>
          <w:rFonts w:asciiTheme="minorHAnsi" w:eastAsiaTheme="minorHAnsi" w:hAnsiTheme="minorHAnsi" w:cs="Calibri"/>
          <w:bCs/>
          <w:szCs w:val="22"/>
          <w:lang w:eastAsia="en-US"/>
        </w:rPr>
        <w:t>Do celu głównego projektu Wnioskodawca powinien dobrać odpowiednie wskaźniki, produktu i rezultatu</w:t>
      </w:r>
      <w:r w:rsidRPr="00C55C4D">
        <w:rPr>
          <w:rFonts w:asciiTheme="minorHAnsi" w:eastAsiaTheme="minorHAnsi" w:hAnsiTheme="minorHAnsi" w:cs="Calibri"/>
          <w:szCs w:val="22"/>
          <w:lang w:eastAsia="en-US"/>
        </w:rPr>
        <w:t xml:space="preserve"> bezpośredniego. Muszą być logicznie powiązane z projektem i spójne. </w:t>
      </w:r>
    </w:p>
    <w:p w:rsidR="00DF6D97" w:rsidRPr="00C55C4D" w:rsidRDefault="00DF6D97" w:rsidP="00DF6D97">
      <w:pPr>
        <w:autoSpaceDE w:val="0"/>
        <w:autoSpaceDN w:val="0"/>
        <w:spacing w:before="120" w:after="120" w:line="240" w:lineRule="auto"/>
        <w:jc w:val="both"/>
        <w:rPr>
          <w:rFonts w:asciiTheme="minorHAnsi" w:eastAsiaTheme="minorHAnsi" w:hAnsiTheme="minorHAnsi" w:cs="Calibri"/>
          <w:szCs w:val="22"/>
          <w:lang w:eastAsia="en-US"/>
        </w:rPr>
      </w:pPr>
      <w:r w:rsidRPr="00C55C4D">
        <w:rPr>
          <w:rFonts w:asciiTheme="minorHAnsi" w:hAnsiTheme="minorHAnsi"/>
          <w:szCs w:val="22"/>
        </w:rPr>
        <w:t>Każdy ze wskaźników powinien posiadać następujące cechy:</w:t>
      </w:r>
    </w:p>
    <w:p w:rsidR="00DF6D97" w:rsidRPr="00C55C4D"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C55C4D">
        <w:rPr>
          <w:rFonts w:asciiTheme="minorHAnsi" w:hAnsiTheme="minorHAnsi"/>
          <w:szCs w:val="22"/>
        </w:rPr>
        <w:t>adekwatność – wskaźnik powinien być dostosowany do charakteru projektu oraz oczekiwanych efektów związanych z jego realizacją;</w:t>
      </w:r>
    </w:p>
    <w:p w:rsidR="00DF6D97" w:rsidRPr="00C55C4D"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C55C4D">
        <w:rPr>
          <w:rFonts w:asciiTheme="minorHAnsi" w:hAnsiTheme="minorHAnsi"/>
          <w:szCs w:val="22"/>
        </w:rPr>
        <w:t>mierzalność – wskaźnik powinien być kwantyfikowalny, tj. wyrażony w wartościach liczbowych bądź finansowych;</w:t>
      </w:r>
    </w:p>
    <w:p w:rsidR="00DF6D97" w:rsidRPr="00C55C4D"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C55C4D">
        <w:rPr>
          <w:rFonts w:asciiTheme="minorHAnsi" w:hAnsiTheme="minorHAnsi"/>
          <w:szCs w:val="22"/>
        </w:rPr>
        <w:t>wiarygodność – wskaźnik powinien być zdefiniowany w taki sposób, aby jego weryfikacja nie powodowała utrudnień;</w:t>
      </w:r>
    </w:p>
    <w:p w:rsidR="00DF6D97" w:rsidRPr="00C55C4D"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C55C4D">
        <w:rPr>
          <w:rFonts w:asciiTheme="minorHAnsi" w:hAnsiTheme="minorHAnsi"/>
          <w:szCs w:val="22"/>
        </w:rPr>
        <w:t>dostępność – wskaźnik powinien być łatwy do określenia w wyniku realizacji projektu;</w:t>
      </w:r>
    </w:p>
    <w:p w:rsidR="00DF6D97" w:rsidRPr="00C55C4D" w:rsidRDefault="00DF6D97" w:rsidP="00DF6D97">
      <w:pPr>
        <w:numPr>
          <w:ilvl w:val="0"/>
          <w:numId w:val="3"/>
        </w:numPr>
        <w:autoSpaceDE w:val="0"/>
        <w:autoSpaceDN w:val="0"/>
        <w:spacing w:before="0" w:line="240" w:lineRule="auto"/>
        <w:ind w:left="714" w:hanging="357"/>
        <w:jc w:val="both"/>
        <w:rPr>
          <w:rFonts w:asciiTheme="minorHAnsi" w:hAnsiTheme="minorHAnsi"/>
          <w:szCs w:val="22"/>
        </w:rPr>
      </w:pPr>
      <w:r w:rsidRPr="00C55C4D">
        <w:rPr>
          <w:rFonts w:asciiTheme="minorHAnsi" w:hAnsiTheme="minorHAnsi"/>
          <w:szCs w:val="22"/>
        </w:rPr>
        <w:t>określony w czasie – wartość wskaźnika powinna zostać określona w czasie, tj. określony rok osiągnięcia wartości docelowej wskaźnika oraz okres, w którym będzie mierzony wskaźnik</w:t>
      </w:r>
    </w:p>
    <w:p w:rsidR="00DF6D97" w:rsidRPr="00C55C4D" w:rsidRDefault="00DF6D97" w:rsidP="00DF6D97">
      <w:pPr>
        <w:autoSpaceDE w:val="0"/>
        <w:autoSpaceDN w:val="0"/>
        <w:adjustRightInd w:val="0"/>
        <w:spacing w:before="120" w:after="120" w:line="240" w:lineRule="auto"/>
        <w:jc w:val="both"/>
        <w:rPr>
          <w:rFonts w:asciiTheme="minorHAnsi" w:eastAsiaTheme="minorHAnsi" w:hAnsiTheme="minorHAnsi" w:cs="Calibri"/>
          <w:szCs w:val="22"/>
          <w:lang w:eastAsia="en-US"/>
        </w:rPr>
      </w:pPr>
      <w:r w:rsidRPr="00C55C4D">
        <w:rPr>
          <w:rFonts w:asciiTheme="minorHAnsi" w:eastAsiaTheme="minorHAnsi" w:hAnsiTheme="minorHAnsi" w:cs="Calibri"/>
          <w:szCs w:val="22"/>
          <w:lang w:eastAsia="en-US"/>
        </w:rPr>
        <w:t xml:space="preserve">Odpowiednio we wniosku o dofinansowanie należy określić, w jaki sposób mierzona będzie realizacja celu poprzez ustalenie wskaźników. </w:t>
      </w:r>
    </w:p>
    <w:p w:rsidR="00DF6D97" w:rsidRPr="00C55C4D" w:rsidRDefault="00DF6D97" w:rsidP="00DF6D97">
      <w:pPr>
        <w:spacing w:before="120" w:after="120" w:line="240" w:lineRule="auto"/>
        <w:jc w:val="both"/>
        <w:rPr>
          <w:rFonts w:asciiTheme="minorHAnsi" w:hAnsiTheme="minorHAnsi"/>
          <w:b/>
          <w:szCs w:val="22"/>
        </w:rPr>
      </w:pPr>
    </w:p>
    <w:p w:rsidR="00DF6D97" w:rsidRPr="00C55C4D" w:rsidRDefault="00DF6D97" w:rsidP="00DF6D97">
      <w:pPr>
        <w:spacing w:before="120" w:after="120" w:line="240" w:lineRule="auto"/>
        <w:jc w:val="both"/>
        <w:rPr>
          <w:rFonts w:asciiTheme="minorHAnsi" w:hAnsiTheme="minorHAnsi"/>
          <w:b/>
          <w:szCs w:val="22"/>
        </w:rPr>
      </w:pPr>
      <w:r w:rsidRPr="00C55C4D">
        <w:rPr>
          <w:rFonts w:asciiTheme="minorHAnsi" w:hAnsiTheme="minorHAnsi"/>
          <w:b/>
          <w:szCs w:val="22"/>
        </w:rPr>
        <w:t>W ramach RPO WD 2014-2020 rozróżnia się następujące wskaźniki:</w:t>
      </w:r>
    </w:p>
    <w:p w:rsidR="00DF6D97" w:rsidRPr="00C55C4D"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C55C4D">
        <w:rPr>
          <w:rFonts w:asciiTheme="minorHAnsi" w:hAnsiTheme="minorHAnsi"/>
          <w:b/>
          <w:szCs w:val="22"/>
        </w:rPr>
        <w:t>obligatoryjne – wskaźniki ujęte w RPO WD 2014-2020, SZOOP RPO WD 2014-2020</w:t>
      </w:r>
    </w:p>
    <w:p w:rsidR="00DF6D97" w:rsidRPr="00C55C4D"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C55C4D">
        <w:rPr>
          <w:rFonts w:asciiTheme="minorHAnsi" w:hAnsiTheme="minorHAnsi"/>
          <w:b/>
          <w:szCs w:val="22"/>
        </w:rPr>
        <w:t xml:space="preserve">horyzontalne </w:t>
      </w:r>
    </w:p>
    <w:p w:rsidR="00DF6D97" w:rsidRPr="00C55C4D" w:rsidRDefault="00DF6D97" w:rsidP="00DF6D97">
      <w:pPr>
        <w:pStyle w:val="Akapitzlist"/>
        <w:numPr>
          <w:ilvl w:val="0"/>
          <w:numId w:val="5"/>
        </w:numPr>
        <w:spacing w:before="120" w:after="120" w:line="240" w:lineRule="auto"/>
        <w:ind w:left="567" w:hanging="567"/>
        <w:jc w:val="both"/>
        <w:rPr>
          <w:rFonts w:asciiTheme="minorHAnsi" w:hAnsiTheme="minorHAnsi"/>
          <w:b/>
          <w:szCs w:val="22"/>
        </w:rPr>
      </w:pPr>
      <w:r w:rsidRPr="00C55C4D">
        <w:rPr>
          <w:rFonts w:asciiTheme="minorHAnsi" w:hAnsiTheme="minorHAnsi"/>
          <w:b/>
          <w:szCs w:val="22"/>
        </w:rPr>
        <w:t>dodatkowe – wskaźniki projektowe</w:t>
      </w:r>
    </w:p>
    <w:p w:rsidR="00DF6D97" w:rsidRPr="00C55C4D" w:rsidRDefault="00DF6D97" w:rsidP="00DF6D97">
      <w:pPr>
        <w:pStyle w:val="Akapitzlist"/>
        <w:spacing w:before="120" w:after="120" w:line="240" w:lineRule="auto"/>
        <w:ind w:left="720"/>
        <w:jc w:val="both"/>
        <w:rPr>
          <w:rFonts w:asciiTheme="minorHAnsi" w:hAnsiTheme="minorHAnsi"/>
          <w:b/>
          <w:szCs w:val="22"/>
        </w:rPr>
      </w:pPr>
    </w:p>
    <w:p w:rsidR="00DF6D97" w:rsidRPr="00C55C4D" w:rsidRDefault="00DF6D97" w:rsidP="00DF6D97">
      <w:pPr>
        <w:pStyle w:val="Nagwek1"/>
        <w:spacing w:before="120" w:after="120" w:line="240" w:lineRule="auto"/>
        <w:jc w:val="both"/>
        <w:rPr>
          <w:rFonts w:asciiTheme="minorHAnsi" w:hAnsiTheme="minorHAnsi"/>
          <w:sz w:val="22"/>
          <w:szCs w:val="22"/>
        </w:rPr>
      </w:pPr>
      <w:r w:rsidRPr="00C55C4D">
        <w:rPr>
          <w:rFonts w:asciiTheme="minorHAnsi" w:hAnsiTheme="minorHAnsi"/>
          <w:sz w:val="22"/>
          <w:szCs w:val="22"/>
        </w:rPr>
        <w:t>Wymagania w zakresie wskaźników w projekcie</w:t>
      </w:r>
    </w:p>
    <w:p w:rsidR="00DF6D97" w:rsidRPr="00C55C4D" w:rsidRDefault="00DF6D97" w:rsidP="00DF6D97">
      <w:pPr>
        <w:pStyle w:val="Default"/>
        <w:jc w:val="both"/>
        <w:rPr>
          <w:rFonts w:asciiTheme="minorHAnsi" w:eastAsiaTheme="minorHAnsi" w:hAnsiTheme="minorHAnsi" w:cs="Calibri"/>
          <w:sz w:val="22"/>
          <w:szCs w:val="22"/>
          <w:lang w:eastAsia="en-US"/>
        </w:rPr>
      </w:pPr>
      <w:r w:rsidRPr="00C55C4D">
        <w:rPr>
          <w:rFonts w:asciiTheme="minorHAnsi" w:eastAsiaTheme="minorHAnsi" w:hAnsiTheme="minorHAnsi" w:cs="Calibri"/>
          <w:sz w:val="22"/>
          <w:szCs w:val="22"/>
          <w:lang w:eastAsia="en-US"/>
        </w:rPr>
        <w:t xml:space="preserve">W ramach wniosku o dofinansowanie projektu Wnioskodawca określa </w:t>
      </w:r>
      <w:r w:rsidRPr="00C55C4D">
        <w:rPr>
          <w:rFonts w:asciiTheme="minorHAnsi" w:eastAsiaTheme="minorHAnsi" w:hAnsiTheme="minorHAnsi" w:cs="Calibri"/>
          <w:b/>
          <w:bCs/>
          <w:sz w:val="22"/>
          <w:szCs w:val="22"/>
          <w:lang w:eastAsia="en-US"/>
        </w:rPr>
        <w:t>wskaźniki służące pomiarowi działań i celów założonych w projekcie.</w:t>
      </w:r>
      <w:r w:rsidRPr="00C55C4D">
        <w:rPr>
          <w:rFonts w:asciiTheme="minorHAnsi" w:eastAsiaTheme="minorHAnsi" w:hAnsiTheme="minorHAnsi" w:cs="Calibri"/>
          <w:sz w:val="22"/>
          <w:szCs w:val="22"/>
          <w:lang w:eastAsia="en-US"/>
        </w:rPr>
        <w:t xml:space="preserve"> Wskaźniki w ramach projektu należy określić mając </w:t>
      </w:r>
      <w:r w:rsidRPr="00C55C4D">
        <w:rPr>
          <w:rFonts w:asciiTheme="minorHAnsi" w:eastAsiaTheme="minorHAnsi" w:hAnsiTheme="minorHAnsi" w:cs="Calibri"/>
          <w:sz w:val="22"/>
          <w:szCs w:val="22"/>
          <w:lang w:eastAsia="en-US"/>
        </w:rPr>
        <w:br/>
        <w:t>w szczególności na uwadze zapisy niniejszego regulaminu.</w:t>
      </w:r>
    </w:p>
    <w:p w:rsidR="00DF6D97" w:rsidRPr="00C55C4D" w:rsidRDefault="00DF6D97" w:rsidP="00DF6D97">
      <w:pPr>
        <w:pStyle w:val="Default"/>
        <w:jc w:val="both"/>
        <w:rPr>
          <w:rFonts w:asciiTheme="minorHAnsi" w:eastAsiaTheme="minorHAnsi" w:hAnsiTheme="minorHAnsi" w:cs="Calibri"/>
          <w:sz w:val="22"/>
          <w:szCs w:val="22"/>
          <w:lang w:eastAsia="en-US"/>
        </w:rPr>
      </w:pPr>
    </w:p>
    <w:p w:rsidR="00DF6D97" w:rsidRPr="00C55C4D" w:rsidRDefault="00DF6D97" w:rsidP="00DF6D97">
      <w:pPr>
        <w:pStyle w:val="Default"/>
        <w:jc w:val="both"/>
        <w:rPr>
          <w:rFonts w:asciiTheme="minorHAnsi" w:hAnsiTheme="minorHAnsi"/>
          <w:b/>
          <w:sz w:val="22"/>
          <w:szCs w:val="22"/>
        </w:rPr>
      </w:pPr>
      <w:r w:rsidRPr="00C55C4D">
        <w:rPr>
          <w:rFonts w:asciiTheme="minorHAnsi" w:eastAsiaTheme="minorHAnsi" w:hAnsiTheme="minorHAnsi" w:cs="Calibri"/>
          <w:sz w:val="22"/>
          <w:szCs w:val="22"/>
          <w:lang w:eastAsia="en-US"/>
        </w:rPr>
        <w:lastRenderedPageBreak/>
        <w:t xml:space="preserve"> </w:t>
      </w:r>
      <w:r w:rsidRPr="00C55C4D">
        <w:rPr>
          <w:rFonts w:asciiTheme="minorHAnsi" w:hAnsiTheme="minorHAnsi"/>
          <w:b/>
          <w:sz w:val="22"/>
          <w:szCs w:val="22"/>
        </w:rPr>
        <w:t xml:space="preserve">W przypadku, gdy w ramach danego Działania uwzględniony został wskaźnik z RPO WD 2014-2020, który odzwierciedla zakres projektu, jego wykazanie dla Wnioskodawcy jest obligatoryjne. </w:t>
      </w:r>
    </w:p>
    <w:p w:rsidR="00DF6D97" w:rsidRPr="00C55C4D" w:rsidRDefault="00DF6D97" w:rsidP="008B73B1">
      <w:pPr>
        <w:autoSpaceDE w:val="0"/>
        <w:autoSpaceDN w:val="0"/>
        <w:adjustRightInd w:val="0"/>
        <w:spacing w:line="240" w:lineRule="auto"/>
        <w:ind w:firstLine="708"/>
        <w:jc w:val="both"/>
        <w:rPr>
          <w:rFonts w:asciiTheme="minorHAnsi" w:hAnsiTheme="minorHAnsi" w:cs="Arial"/>
          <w:szCs w:val="22"/>
        </w:rPr>
      </w:pPr>
      <w:r w:rsidRPr="00C55C4D">
        <w:rPr>
          <w:rFonts w:asciiTheme="minorHAnsi" w:hAnsiTheme="minorHAnsi" w:cs="Arial"/>
          <w:b/>
          <w:szCs w:val="22"/>
        </w:rPr>
        <w:t>W</w:t>
      </w:r>
      <w:r w:rsidRPr="00C55C4D">
        <w:rPr>
          <w:rFonts w:asciiTheme="minorHAnsi" w:hAnsiTheme="minorHAnsi" w:cs="Arial"/>
          <w:b/>
          <w:bCs/>
          <w:szCs w:val="22"/>
        </w:rPr>
        <w:t>skaźniki produktu</w:t>
      </w:r>
      <w:r w:rsidRPr="00C55C4D">
        <w:rPr>
          <w:rFonts w:asciiTheme="minorHAnsi" w:hAnsiTheme="minorHAnsi" w:cs="Arial"/>
          <w:bCs/>
          <w:szCs w:val="22"/>
        </w:rPr>
        <w:t xml:space="preserve"> są to wskaźniki powiązane bezpośrednio z wydatkami ponoszonymi </w:t>
      </w:r>
      <w:r w:rsidRPr="00C55C4D">
        <w:rPr>
          <w:rFonts w:asciiTheme="minorHAnsi" w:hAnsiTheme="minorHAnsi" w:cs="Arial"/>
          <w:bCs/>
          <w:szCs w:val="22"/>
        </w:rPr>
        <w:br/>
        <w:t>w projekcie</w:t>
      </w:r>
      <w:r w:rsidRPr="00C55C4D">
        <w:rPr>
          <w:rFonts w:asciiTheme="minorHAnsi" w:hAnsiTheme="minorHAnsi" w:cs="Arial"/>
          <w:szCs w:val="22"/>
        </w:rPr>
        <w:t>, mierzone konkretnymi wielkościami. Liczone są w jednostkach fizycznych lub monetarnych. Wybrane przez Wnioskodawcę wskaźniki muszą być adekwatne do zakresu projektu oraz mają być powiązane z głównymi kategoriami wydatków w projekcie.</w:t>
      </w:r>
    </w:p>
    <w:p w:rsidR="00DF6D97" w:rsidRPr="00C55C4D" w:rsidRDefault="00DF6D97" w:rsidP="00DF6D97">
      <w:pPr>
        <w:pStyle w:val="Default"/>
        <w:jc w:val="both"/>
        <w:rPr>
          <w:rFonts w:asciiTheme="minorHAnsi" w:hAnsiTheme="minorHAnsi"/>
          <w:sz w:val="22"/>
          <w:szCs w:val="22"/>
        </w:rPr>
      </w:pPr>
      <w:r w:rsidRPr="00C55C4D">
        <w:rPr>
          <w:rFonts w:asciiTheme="minorHAnsi" w:hAnsiTheme="minorHAnsi"/>
          <w:sz w:val="22"/>
          <w:szCs w:val="22"/>
        </w:rPr>
        <w:t xml:space="preserve">Dla każdego z wybranych wskaźników Wnioskodawca zobowiązany jest do wskazania </w:t>
      </w:r>
      <w:r w:rsidRPr="00C55C4D">
        <w:rPr>
          <w:rFonts w:asciiTheme="minorHAnsi" w:hAnsiTheme="minorHAnsi"/>
          <w:i/>
          <w:sz w:val="22"/>
          <w:szCs w:val="22"/>
        </w:rPr>
        <w:t>„Jednostki miary”</w:t>
      </w:r>
      <w:r w:rsidRPr="00C55C4D">
        <w:rPr>
          <w:rFonts w:asciiTheme="minorHAnsi" w:hAnsiTheme="minorHAnsi"/>
          <w:sz w:val="22"/>
          <w:szCs w:val="22"/>
        </w:rPr>
        <w:t xml:space="preserve">, </w:t>
      </w:r>
      <w:r w:rsidRPr="00C55C4D">
        <w:rPr>
          <w:rFonts w:asciiTheme="minorHAnsi" w:hAnsiTheme="minorHAnsi"/>
          <w:i/>
          <w:sz w:val="22"/>
          <w:szCs w:val="22"/>
        </w:rPr>
        <w:t>„Wartości bazowej”</w:t>
      </w:r>
      <w:r w:rsidRPr="00C55C4D">
        <w:rPr>
          <w:rFonts w:asciiTheme="minorHAnsi" w:hAnsiTheme="minorHAnsi"/>
          <w:sz w:val="22"/>
          <w:szCs w:val="22"/>
        </w:rPr>
        <w:t xml:space="preserve">, </w:t>
      </w:r>
      <w:r w:rsidRPr="00C55C4D">
        <w:rPr>
          <w:rFonts w:asciiTheme="minorHAnsi" w:hAnsiTheme="minorHAnsi"/>
          <w:i/>
          <w:sz w:val="22"/>
          <w:szCs w:val="22"/>
        </w:rPr>
        <w:t>„Wartości docelowej wskaźnika”</w:t>
      </w:r>
      <w:r w:rsidRPr="00C55C4D">
        <w:rPr>
          <w:rFonts w:asciiTheme="minorHAnsi" w:hAnsiTheme="minorHAnsi"/>
          <w:sz w:val="22"/>
          <w:szCs w:val="22"/>
        </w:rPr>
        <w:t xml:space="preserve">, a także </w:t>
      </w:r>
      <w:r w:rsidRPr="00C55C4D">
        <w:rPr>
          <w:rFonts w:asciiTheme="minorHAnsi" w:hAnsiTheme="minorHAnsi"/>
          <w:i/>
          <w:sz w:val="22"/>
          <w:szCs w:val="22"/>
        </w:rPr>
        <w:t>„Źródła informacji o wskaźniku”</w:t>
      </w:r>
      <w:r w:rsidRPr="00C55C4D">
        <w:rPr>
          <w:rFonts w:asciiTheme="minorHAnsi" w:hAnsiTheme="minorHAnsi"/>
          <w:sz w:val="22"/>
          <w:szCs w:val="22"/>
        </w:rPr>
        <w:t xml:space="preserve">. </w:t>
      </w:r>
    </w:p>
    <w:p w:rsidR="00DF6D97" w:rsidRPr="00C55C4D" w:rsidRDefault="00DF6D97" w:rsidP="00DF6D97">
      <w:pPr>
        <w:pStyle w:val="Default"/>
        <w:jc w:val="both"/>
        <w:rPr>
          <w:rFonts w:asciiTheme="minorHAnsi" w:hAnsiTheme="minorHAnsi"/>
          <w:sz w:val="22"/>
          <w:szCs w:val="22"/>
        </w:rPr>
      </w:pPr>
      <w:r w:rsidRPr="00C55C4D">
        <w:rPr>
          <w:rFonts w:asciiTheme="minorHAnsi" w:hAnsiTheme="minorHAnsi"/>
          <w:sz w:val="22"/>
          <w:szCs w:val="22"/>
        </w:rPr>
        <w:t xml:space="preserve">Wartość docelowa dla wskaźnika produktu to wyrażony liczbowo stan danego wskaźnika na moment zakończenia rzeczowej realizacji projektu. </w:t>
      </w:r>
    </w:p>
    <w:p w:rsidR="00DF6D97" w:rsidRPr="00C55C4D" w:rsidRDefault="00DF6D97" w:rsidP="00DF6D97">
      <w:pPr>
        <w:pStyle w:val="Default"/>
        <w:jc w:val="both"/>
        <w:rPr>
          <w:rFonts w:asciiTheme="minorHAnsi" w:hAnsiTheme="minorHAnsi"/>
          <w:sz w:val="22"/>
          <w:szCs w:val="22"/>
          <w:highlight w:val="yellow"/>
        </w:rPr>
      </w:pPr>
      <w:r w:rsidRPr="00C55C4D">
        <w:rPr>
          <w:rFonts w:asciiTheme="minorHAnsi" w:hAnsiTheme="minorHAnsi"/>
          <w:sz w:val="22"/>
          <w:szCs w:val="22"/>
        </w:rPr>
        <w:t>Jako źródło informacji o wskaźniku wskazać należy odpowiedni dokument</w:t>
      </w:r>
      <w:r w:rsidR="00871F22" w:rsidRPr="00C55C4D">
        <w:rPr>
          <w:rFonts w:asciiTheme="minorHAnsi" w:hAnsiTheme="minorHAnsi"/>
          <w:sz w:val="22"/>
          <w:szCs w:val="22"/>
        </w:rPr>
        <w:t>.</w:t>
      </w:r>
    </w:p>
    <w:p w:rsidR="00DF6D97" w:rsidRPr="00C55C4D" w:rsidRDefault="00DF6D97" w:rsidP="00DF6D97">
      <w:pPr>
        <w:autoSpaceDE w:val="0"/>
        <w:autoSpaceDN w:val="0"/>
        <w:adjustRightInd w:val="0"/>
        <w:spacing w:before="120" w:after="120" w:line="240" w:lineRule="auto"/>
        <w:jc w:val="both"/>
        <w:rPr>
          <w:rFonts w:asciiTheme="minorHAnsi" w:hAnsiTheme="minorHAnsi"/>
          <w:b/>
          <w:szCs w:val="22"/>
        </w:rPr>
      </w:pPr>
      <w:r w:rsidRPr="00C55C4D">
        <w:rPr>
          <w:rFonts w:asciiTheme="minorHAnsi" w:hAnsiTheme="minorHAnsi"/>
          <w:szCs w:val="22"/>
        </w:rPr>
        <w:t xml:space="preserve">W ramach Działania </w:t>
      </w:r>
      <w:r w:rsidR="00332CDB" w:rsidRPr="00C55C4D">
        <w:rPr>
          <w:rFonts w:asciiTheme="minorHAnsi" w:hAnsiTheme="minorHAnsi"/>
          <w:szCs w:val="22"/>
        </w:rPr>
        <w:t>1</w:t>
      </w:r>
      <w:r w:rsidRPr="00C55C4D">
        <w:rPr>
          <w:rFonts w:asciiTheme="minorHAnsi" w:hAnsiTheme="minorHAnsi"/>
          <w:szCs w:val="22"/>
        </w:rPr>
        <w:t>.</w:t>
      </w:r>
      <w:r w:rsidR="00C846FF">
        <w:rPr>
          <w:rFonts w:asciiTheme="minorHAnsi" w:hAnsiTheme="minorHAnsi"/>
          <w:szCs w:val="22"/>
        </w:rPr>
        <w:t>4.</w:t>
      </w:r>
      <w:r w:rsidR="00C851B3">
        <w:rPr>
          <w:rFonts w:asciiTheme="minorHAnsi" w:hAnsiTheme="minorHAnsi"/>
          <w:szCs w:val="22"/>
        </w:rPr>
        <w:t xml:space="preserve">B </w:t>
      </w:r>
      <w:r w:rsidR="003B68B0">
        <w:rPr>
          <w:rFonts w:asciiTheme="minorHAnsi" w:hAnsiTheme="minorHAnsi"/>
          <w:szCs w:val="22"/>
        </w:rPr>
        <w:t>c</w:t>
      </w:r>
      <w:r w:rsidR="008F1A47" w:rsidRPr="00C55C4D">
        <w:rPr>
          <w:rFonts w:asciiTheme="minorHAnsi" w:hAnsiTheme="minorHAnsi"/>
          <w:szCs w:val="22"/>
        </w:rPr>
        <w:t xml:space="preserve"> </w:t>
      </w:r>
      <w:r w:rsidRPr="00C55C4D">
        <w:rPr>
          <w:rFonts w:asciiTheme="minorHAnsi" w:hAnsiTheme="minorHAnsi"/>
          <w:szCs w:val="22"/>
        </w:rPr>
        <w:t xml:space="preserve">określono poniższe wskaźniki </w:t>
      </w:r>
      <w:r w:rsidRPr="00C55C4D">
        <w:rPr>
          <w:rFonts w:asciiTheme="minorHAnsi" w:hAnsiTheme="minorHAnsi"/>
          <w:b/>
          <w:szCs w:val="22"/>
        </w:rPr>
        <w:t>produktu:</w:t>
      </w:r>
    </w:p>
    <w:tbl>
      <w:tblPr>
        <w:tblW w:w="5000"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040"/>
        <w:gridCol w:w="829"/>
        <w:gridCol w:w="4421"/>
        <w:gridCol w:w="1762"/>
      </w:tblGrid>
      <w:tr w:rsidR="00C55C4D" w:rsidRPr="00C55C4D" w:rsidTr="00EE4C8C">
        <w:trPr>
          <w:cantSplit/>
          <w:trHeight w:val="20"/>
          <w:jc w:val="center"/>
        </w:trPr>
        <w:tc>
          <w:tcPr>
            <w:tcW w:w="1127" w:type="pct"/>
            <w:shd w:val="clear" w:color="auto" w:fill="auto"/>
            <w:vAlign w:val="center"/>
          </w:tcPr>
          <w:p w:rsidR="005657D8" w:rsidRPr="00C55C4D" w:rsidRDefault="005657D8" w:rsidP="00EE4C8C">
            <w:pPr>
              <w:spacing w:before="0" w:line="240" w:lineRule="auto"/>
              <w:jc w:val="center"/>
              <w:rPr>
                <w:rFonts w:asciiTheme="minorHAnsi" w:hAnsiTheme="minorHAnsi"/>
                <w:b/>
                <w:szCs w:val="22"/>
              </w:rPr>
            </w:pPr>
            <w:r w:rsidRPr="00C55C4D">
              <w:rPr>
                <w:rFonts w:asciiTheme="minorHAnsi" w:hAnsiTheme="minorHAnsi"/>
                <w:b/>
                <w:szCs w:val="22"/>
              </w:rPr>
              <w:t>Nazwa wskaźnika produktu</w:t>
            </w:r>
          </w:p>
        </w:tc>
        <w:tc>
          <w:tcPr>
            <w:tcW w:w="458" w:type="pct"/>
            <w:vAlign w:val="center"/>
          </w:tcPr>
          <w:p w:rsidR="005657D8" w:rsidRPr="00C55C4D" w:rsidRDefault="005657D8" w:rsidP="00EE4C8C">
            <w:pPr>
              <w:suppressAutoHyphens/>
              <w:spacing w:before="0" w:line="240" w:lineRule="auto"/>
              <w:jc w:val="center"/>
              <w:rPr>
                <w:rFonts w:asciiTheme="minorHAnsi" w:hAnsiTheme="minorHAnsi"/>
                <w:b/>
                <w:bCs/>
                <w:szCs w:val="22"/>
              </w:rPr>
            </w:pPr>
            <w:r w:rsidRPr="00C55C4D">
              <w:rPr>
                <w:rFonts w:asciiTheme="minorHAnsi" w:hAnsiTheme="minorHAnsi"/>
                <w:b/>
                <w:bCs/>
                <w:szCs w:val="22"/>
              </w:rPr>
              <w:t>Jednostka miary</w:t>
            </w:r>
          </w:p>
        </w:tc>
        <w:tc>
          <w:tcPr>
            <w:tcW w:w="2442" w:type="pct"/>
            <w:shd w:val="clear" w:color="auto" w:fill="auto"/>
            <w:vAlign w:val="center"/>
          </w:tcPr>
          <w:p w:rsidR="005657D8" w:rsidRPr="00C55C4D" w:rsidRDefault="005657D8" w:rsidP="00EE4C8C">
            <w:pPr>
              <w:suppressAutoHyphens/>
              <w:spacing w:before="0" w:line="240" w:lineRule="auto"/>
              <w:jc w:val="center"/>
              <w:rPr>
                <w:rFonts w:asciiTheme="minorHAnsi" w:hAnsiTheme="minorHAnsi"/>
                <w:b/>
                <w:szCs w:val="22"/>
              </w:rPr>
            </w:pPr>
            <w:r w:rsidRPr="00C55C4D">
              <w:rPr>
                <w:rFonts w:asciiTheme="minorHAnsi" w:hAnsiTheme="minorHAnsi"/>
                <w:b/>
                <w:bCs/>
                <w:szCs w:val="22"/>
              </w:rPr>
              <w:t>Definicja wskaźnika</w:t>
            </w:r>
          </w:p>
        </w:tc>
        <w:tc>
          <w:tcPr>
            <w:tcW w:w="973" w:type="pct"/>
            <w:vAlign w:val="center"/>
          </w:tcPr>
          <w:p w:rsidR="005657D8" w:rsidRPr="00C55C4D" w:rsidRDefault="005657D8" w:rsidP="00EE4C8C">
            <w:pPr>
              <w:suppressAutoHyphens/>
              <w:spacing w:before="0" w:line="240" w:lineRule="auto"/>
              <w:jc w:val="center"/>
              <w:rPr>
                <w:rFonts w:asciiTheme="minorHAnsi" w:hAnsiTheme="minorHAnsi"/>
                <w:b/>
                <w:bCs/>
                <w:szCs w:val="22"/>
              </w:rPr>
            </w:pPr>
            <w:r w:rsidRPr="00C55C4D">
              <w:rPr>
                <w:rFonts w:asciiTheme="minorHAnsi" w:hAnsiTheme="minorHAnsi"/>
                <w:b/>
                <w:bCs/>
                <w:szCs w:val="22"/>
              </w:rPr>
              <w:t>Rodzaj dokumentu, w</w:t>
            </w:r>
            <w:r w:rsidR="007E025A" w:rsidRPr="00C55C4D">
              <w:rPr>
                <w:rFonts w:asciiTheme="minorHAnsi" w:hAnsiTheme="minorHAnsi"/>
                <w:b/>
                <w:bCs/>
                <w:szCs w:val="22"/>
              </w:rPr>
              <w:t> </w:t>
            </w:r>
            <w:r w:rsidRPr="00C55C4D">
              <w:rPr>
                <w:rFonts w:asciiTheme="minorHAnsi" w:hAnsiTheme="minorHAnsi"/>
                <w:b/>
                <w:bCs/>
                <w:szCs w:val="22"/>
              </w:rPr>
              <w:t>którym określono wskaźnik</w:t>
            </w:r>
          </w:p>
        </w:tc>
      </w:tr>
      <w:tr w:rsidR="001E4237" w:rsidRPr="00C55C4D" w:rsidTr="00EE4C8C">
        <w:trPr>
          <w:trHeight w:val="1121"/>
          <w:jc w:val="center"/>
        </w:trPr>
        <w:tc>
          <w:tcPr>
            <w:tcW w:w="1127" w:type="pct"/>
            <w:shd w:val="clear" w:color="auto" w:fill="auto"/>
          </w:tcPr>
          <w:p w:rsidR="001E4237" w:rsidRPr="00C55C4D" w:rsidRDefault="001E4237" w:rsidP="00EE4C8C">
            <w:pPr>
              <w:spacing w:before="0" w:line="240" w:lineRule="auto"/>
              <w:contextualSpacing/>
              <w:rPr>
                <w:rFonts w:asciiTheme="minorHAnsi" w:hAnsiTheme="minorHAnsi" w:cs="ArialNarrow"/>
              </w:rPr>
            </w:pPr>
            <w:r w:rsidRPr="004B3AF6">
              <w:rPr>
                <w:rFonts w:cs="Arial"/>
                <w:sz w:val="20"/>
              </w:rPr>
              <w:t>Liczba przedsiębiorstw otrzymujących wsparcie</w:t>
            </w:r>
          </w:p>
        </w:tc>
        <w:tc>
          <w:tcPr>
            <w:tcW w:w="458" w:type="pct"/>
          </w:tcPr>
          <w:p w:rsidR="001E4237" w:rsidRPr="00C55C4D" w:rsidRDefault="001E4237" w:rsidP="00762973">
            <w:pPr>
              <w:spacing w:before="0" w:line="240" w:lineRule="auto"/>
              <w:jc w:val="both"/>
              <w:rPr>
                <w:rFonts w:asciiTheme="minorHAnsi" w:hAnsiTheme="minorHAnsi" w:cs="ArialNarrow"/>
              </w:rPr>
            </w:pPr>
            <w:r w:rsidRPr="00C55C4D">
              <w:rPr>
                <w:rFonts w:asciiTheme="minorHAnsi" w:hAnsiTheme="minorHAnsi" w:cs="ArialNarrow"/>
              </w:rPr>
              <w:t>przedsiębiorstwa</w:t>
            </w:r>
          </w:p>
          <w:p w:rsidR="001E4237" w:rsidRPr="00C55C4D" w:rsidRDefault="001E4237" w:rsidP="00EE4C8C">
            <w:pPr>
              <w:spacing w:before="0" w:line="240" w:lineRule="auto"/>
              <w:jc w:val="both"/>
              <w:rPr>
                <w:rFonts w:asciiTheme="minorHAnsi" w:hAnsiTheme="minorHAnsi"/>
                <w:szCs w:val="22"/>
              </w:rPr>
            </w:pPr>
          </w:p>
        </w:tc>
        <w:tc>
          <w:tcPr>
            <w:tcW w:w="2442" w:type="pct"/>
            <w:shd w:val="clear" w:color="auto" w:fill="auto"/>
          </w:tcPr>
          <w:p w:rsidR="001E4237" w:rsidRPr="00C55C4D" w:rsidRDefault="001E4237" w:rsidP="00762973">
            <w:pPr>
              <w:spacing w:before="0" w:line="240" w:lineRule="auto"/>
              <w:rPr>
                <w:rFonts w:asciiTheme="minorHAnsi" w:hAnsiTheme="minorHAnsi"/>
                <w:szCs w:val="22"/>
                <w:lang w:val="en-US"/>
              </w:rPr>
            </w:pPr>
            <w:r w:rsidRPr="00C55C4D">
              <w:rPr>
                <w:rFonts w:asciiTheme="minorHAnsi" w:hAnsiTheme="minorHAnsi"/>
                <w:szCs w:val="22"/>
                <w:lang w:val="en-US"/>
              </w:rPr>
              <w:t xml:space="preserve">Number of enterprises receiving support in any form from Structural Funds (whether the support represents state aid or not). </w:t>
            </w:r>
          </w:p>
          <w:p w:rsidR="001E4237" w:rsidRPr="00C55C4D" w:rsidRDefault="001E4237" w:rsidP="00762973">
            <w:pPr>
              <w:spacing w:before="0" w:line="240" w:lineRule="auto"/>
              <w:rPr>
                <w:rFonts w:asciiTheme="minorHAnsi" w:hAnsiTheme="minorHAnsi"/>
                <w:szCs w:val="22"/>
                <w:lang w:val="en-US"/>
              </w:rPr>
            </w:pPr>
            <w:r w:rsidRPr="00C55C4D">
              <w:rPr>
                <w:rFonts w:asciiTheme="minorHAnsi" w:hAnsiTheme="minorHAnsi"/>
                <w:szCs w:val="22"/>
                <w:lang w:val="en-US"/>
              </w:rPr>
              <w:t xml:space="preserve">Enterprise: </w:t>
            </w:r>
            <w:proofErr w:type="spellStart"/>
            <w:r w:rsidRPr="00C55C4D">
              <w:rPr>
                <w:rFonts w:asciiTheme="minorHAnsi" w:hAnsiTheme="minorHAnsi"/>
                <w:szCs w:val="22"/>
                <w:lang w:val="en-US"/>
              </w:rPr>
              <w:t>Organisation</w:t>
            </w:r>
            <w:proofErr w:type="spellEnd"/>
            <w:r w:rsidRPr="00C55C4D">
              <w:rPr>
                <w:rFonts w:asciiTheme="minorHAnsi" w:hAnsiTheme="minorHAnsi"/>
                <w:szCs w:val="22"/>
                <w:lang w:val="en-US"/>
              </w:rPr>
              <w:t xml:space="preserve"> producing products or services to satisfy market needs in order to reach profit. The legal form of enterprise may be various (self-employed persons, partnerships, etc.).</w:t>
            </w:r>
          </w:p>
          <w:p w:rsidR="001E4237" w:rsidRPr="00C55C4D" w:rsidRDefault="001E4237" w:rsidP="00762973">
            <w:pPr>
              <w:spacing w:before="0" w:line="240" w:lineRule="auto"/>
              <w:rPr>
                <w:rFonts w:asciiTheme="minorHAnsi" w:hAnsiTheme="minorHAnsi"/>
                <w:szCs w:val="22"/>
                <w:lang w:val="en-US"/>
              </w:rPr>
            </w:pPr>
          </w:p>
          <w:p w:rsidR="001E4237" w:rsidRPr="00C55C4D" w:rsidRDefault="001E4237" w:rsidP="00762973">
            <w:pPr>
              <w:spacing w:before="0" w:line="240" w:lineRule="auto"/>
              <w:rPr>
                <w:rFonts w:asciiTheme="minorHAnsi" w:hAnsiTheme="minorHAnsi"/>
                <w:b/>
                <w:szCs w:val="22"/>
              </w:rPr>
            </w:pPr>
            <w:r w:rsidRPr="00C55C4D">
              <w:rPr>
                <w:rFonts w:asciiTheme="minorHAnsi" w:hAnsiTheme="minorHAnsi"/>
                <w:b/>
                <w:szCs w:val="22"/>
              </w:rPr>
              <w:t>Wersja robocza:</w:t>
            </w:r>
          </w:p>
          <w:p w:rsidR="001E4237" w:rsidRPr="00C55C4D" w:rsidRDefault="001E4237" w:rsidP="00762973">
            <w:pPr>
              <w:spacing w:before="0" w:line="240" w:lineRule="auto"/>
              <w:rPr>
                <w:rFonts w:asciiTheme="minorHAnsi" w:hAnsiTheme="minorHAnsi"/>
              </w:rPr>
            </w:pPr>
            <w:r w:rsidRPr="00C55C4D">
              <w:rPr>
                <w:rFonts w:asciiTheme="minorHAnsi" w:hAnsiTheme="minorHAnsi"/>
              </w:rPr>
              <w:t xml:space="preserve">Liczba przedsiębiorstw otrzymujących wsparcie w każdej formie z Europejskiego Funduszu Rozwoju Regionalnego (niezależnie czy wsparcie stanowi pomoc publiczną, czy nie). </w:t>
            </w:r>
          </w:p>
          <w:p w:rsidR="001E4237" w:rsidRPr="00C55C4D" w:rsidRDefault="001E4237" w:rsidP="00762973">
            <w:pPr>
              <w:spacing w:before="0" w:line="240" w:lineRule="auto"/>
              <w:rPr>
                <w:rFonts w:asciiTheme="minorHAnsi" w:hAnsiTheme="minorHAnsi" w:cs="Arial"/>
              </w:rPr>
            </w:pPr>
            <w:r w:rsidRPr="00C55C4D">
              <w:rPr>
                <w:rFonts w:asciiTheme="minorHAnsi" w:hAnsiTheme="minorHAnsi"/>
              </w:rPr>
              <w:t xml:space="preserve">Definicja przedsiębiorstwa - </w:t>
            </w:r>
            <w:r w:rsidRPr="00C55C4D">
              <w:rPr>
                <w:rFonts w:asciiTheme="minorHAnsi" w:hAnsiTheme="minorHAnsi" w:cs="Arial"/>
              </w:rPr>
              <w:t>w oparciu o Załącznik I do Rozporządzenia Komisji (UE) nr 651/2014 z dnia 17 czerwca 2014 r. uznającego niektóre rodzaje pomocy za zgodne z rynkiem wewnętrznym w zastosowaniu art. 107 i 108 Traktatu.</w:t>
            </w:r>
          </w:p>
          <w:p w:rsidR="001E4237" w:rsidRDefault="001E4237" w:rsidP="00762973">
            <w:pPr>
              <w:spacing w:before="0" w:line="240" w:lineRule="auto"/>
              <w:rPr>
                <w:rFonts w:asciiTheme="minorHAnsi" w:hAnsiTheme="minorHAnsi"/>
                <w:szCs w:val="22"/>
              </w:rPr>
            </w:pPr>
          </w:p>
          <w:p w:rsidR="001E4237" w:rsidRDefault="001E4237" w:rsidP="00762973">
            <w:pPr>
              <w:spacing w:before="0" w:line="240" w:lineRule="auto"/>
              <w:rPr>
                <w:rFonts w:asciiTheme="minorHAnsi" w:hAnsiTheme="minorHAnsi"/>
                <w:szCs w:val="22"/>
              </w:rPr>
            </w:pPr>
          </w:p>
          <w:p w:rsidR="001E4237" w:rsidRPr="00C40265" w:rsidRDefault="001E4237" w:rsidP="00C40265">
            <w:pPr>
              <w:suppressAutoHyphens/>
              <w:autoSpaceDN w:val="0"/>
              <w:spacing w:before="0" w:line="259" w:lineRule="auto"/>
              <w:jc w:val="both"/>
              <w:textAlignment w:val="baseline"/>
              <w:rPr>
                <w:rFonts w:ascii="Calibri" w:eastAsia="SimSun" w:hAnsi="Calibri" w:cs="Arial"/>
                <w:kern w:val="3"/>
                <w:szCs w:val="22"/>
                <w:lang w:eastAsia="en-US"/>
              </w:rPr>
            </w:pPr>
            <w:r w:rsidRPr="00CF1BEA">
              <w:rPr>
                <w:rFonts w:ascii="Calibri" w:eastAsia="SimSun" w:hAnsi="Calibri" w:cs="Arial"/>
                <w:kern w:val="3"/>
                <w:szCs w:val="22"/>
                <w:lang w:eastAsia="en-US"/>
              </w:rPr>
              <w:t xml:space="preserve">Jedno przedsiębiorstwo może być policzone jednokrotnie. </w:t>
            </w:r>
          </w:p>
          <w:p w:rsidR="001E4237" w:rsidRPr="00C55C4D" w:rsidRDefault="001E4237" w:rsidP="00762973">
            <w:pPr>
              <w:spacing w:before="0" w:line="240" w:lineRule="auto"/>
              <w:rPr>
                <w:rFonts w:asciiTheme="minorHAnsi" w:hAnsiTheme="minorHAnsi"/>
                <w:szCs w:val="22"/>
              </w:rPr>
            </w:pPr>
          </w:p>
          <w:p w:rsidR="001E4237" w:rsidRDefault="001E4237" w:rsidP="00C40265">
            <w:pPr>
              <w:spacing w:before="0" w:line="240" w:lineRule="auto"/>
              <w:rPr>
                <w:rFonts w:asciiTheme="minorHAnsi" w:hAnsiTheme="minorHAnsi" w:cs="Arial"/>
                <w:szCs w:val="22"/>
              </w:rPr>
            </w:pPr>
            <w:r w:rsidRPr="00C55C4D">
              <w:rPr>
                <w:rFonts w:asciiTheme="minorHAnsi" w:hAnsiTheme="minorHAnsi"/>
                <w:szCs w:val="22"/>
              </w:rPr>
              <w:t>Wskaźnik „</w:t>
            </w:r>
            <w:r w:rsidRPr="00C55C4D">
              <w:rPr>
                <w:rFonts w:asciiTheme="minorHAnsi" w:hAnsiTheme="minorHAnsi" w:cs="Arial"/>
                <w:szCs w:val="22"/>
              </w:rPr>
              <w:t>Liczba przedsiębiorstw otrzymujących wsparcie” występuje łącznie ze wskaźnikiem „Liczba przedsi</w:t>
            </w:r>
            <w:r>
              <w:rPr>
                <w:rFonts w:asciiTheme="minorHAnsi" w:hAnsiTheme="minorHAnsi" w:cs="Arial"/>
                <w:szCs w:val="22"/>
              </w:rPr>
              <w:t>ębiorstw otrzymujących dotacje</w:t>
            </w:r>
            <w:r w:rsidRPr="00C55C4D">
              <w:rPr>
                <w:rFonts w:asciiTheme="minorHAnsi" w:hAnsiTheme="minorHAnsi" w:cs="Arial"/>
                <w:szCs w:val="22"/>
              </w:rPr>
              <w:t xml:space="preserve"> </w:t>
            </w:r>
            <w:r w:rsidR="003578F3">
              <w:rPr>
                <w:rFonts w:asciiTheme="minorHAnsi" w:hAnsiTheme="minorHAnsi" w:cs="Arial"/>
                <w:szCs w:val="22"/>
              </w:rPr>
              <w:t>.</w:t>
            </w:r>
          </w:p>
          <w:p w:rsidR="001E4237" w:rsidRDefault="001E4237" w:rsidP="00E428FC">
            <w:pPr>
              <w:spacing w:before="0" w:line="240" w:lineRule="auto"/>
              <w:rPr>
                <w:rFonts w:asciiTheme="minorHAnsi" w:hAnsiTheme="minorHAnsi"/>
                <w:szCs w:val="22"/>
              </w:rPr>
            </w:pPr>
          </w:p>
          <w:p w:rsidR="001E4237" w:rsidRPr="00DF2FA3" w:rsidRDefault="001E4237" w:rsidP="005E0C60">
            <w:pPr>
              <w:spacing w:before="0" w:line="240" w:lineRule="auto"/>
              <w:rPr>
                <w:rFonts w:asciiTheme="minorHAnsi" w:hAnsiTheme="minorHAnsi"/>
                <w:szCs w:val="22"/>
                <w:u w:val="single"/>
              </w:rPr>
            </w:pPr>
            <w:r w:rsidRPr="000434B4">
              <w:rPr>
                <w:rFonts w:asciiTheme="minorHAnsi" w:hAnsiTheme="minorHAnsi"/>
                <w:szCs w:val="22"/>
                <w:u w:val="single"/>
              </w:rPr>
              <w:t>Wskaźnik obligatoryjny dla konkurs</w:t>
            </w:r>
            <w:r>
              <w:rPr>
                <w:rFonts w:asciiTheme="minorHAnsi" w:hAnsiTheme="minorHAnsi"/>
                <w:szCs w:val="22"/>
                <w:u w:val="single"/>
              </w:rPr>
              <w:t>u.</w:t>
            </w:r>
          </w:p>
        </w:tc>
        <w:tc>
          <w:tcPr>
            <w:tcW w:w="973" w:type="pct"/>
          </w:tcPr>
          <w:p w:rsidR="001E4237" w:rsidRPr="00C55C4D" w:rsidRDefault="001E4237" w:rsidP="00EE4C8C">
            <w:pPr>
              <w:spacing w:before="0" w:line="240" w:lineRule="auto"/>
              <w:jc w:val="center"/>
              <w:rPr>
                <w:rFonts w:asciiTheme="minorHAnsi" w:hAnsiTheme="minorHAnsi"/>
                <w:szCs w:val="22"/>
              </w:rPr>
            </w:pPr>
            <w:r w:rsidRPr="00C55C4D">
              <w:rPr>
                <w:rFonts w:asciiTheme="minorHAnsi" w:hAnsiTheme="minorHAnsi"/>
                <w:szCs w:val="22"/>
              </w:rPr>
              <w:lastRenderedPageBreak/>
              <w:t>RPO WD 2014-2020</w:t>
            </w:r>
          </w:p>
        </w:tc>
      </w:tr>
      <w:tr w:rsidR="001E4237" w:rsidRPr="00C55C4D" w:rsidTr="00C40265">
        <w:trPr>
          <w:trHeight w:val="6949"/>
          <w:jc w:val="center"/>
        </w:trPr>
        <w:tc>
          <w:tcPr>
            <w:tcW w:w="1127" w:type="pct"/>
            <w:shd w:val="clear" w:color="auto" w:fill="auto"/>
          </w:tcPr>
          <w:p w:rsidR="001E4237" w:rsidRPr="00C55C4D" w:rsidRDefault="001E4237" w:rsidP="00EE4C8C">
            <w:pPr>
              <w:spacing w:before="0" w:line="240" w:lineRule="auto"/>
              <w:contextualSpacing/>
              <w:rPr>
                <w:rFonts w:asciiTheme="minorHAnsi" w:hAnsiTheme="minorHAnsi" w:cs="ArialNarrow"/>
              </w:rPr>
            </w:pPr>
            <w:r w:rsidRPr="004B3AF6">
              <w:rPr>
                <w:rFonts w:cs="Arial"/>
                <w:sz w:val="20"/>
              </w:rPr>
              <w:t>Liczba przedsiębiorstw otrzymujących dotacje</w:t>
            </w:r>
          </w:p>
        </w:tc>
        <w:tc>
          <w:tcPr>
            <w:tcW w:w="458" w:type="pct"/>
          </w:tcPr>
          <w:p w:rsidR="001E4237" w:rsidRPr="00C55C4D" w:rsidRDefault="001E4237" w:rsidP="00EE4C8C">
            <w:pPr>
              <w:spacing w:before="0" w:line="240" w:lineRule="auto"/>
              <w:jc w:val="both"/>
              <w:rPr>
                <w:rFonts w:asciiTheme="minorHAnsi" w:hAnsiTheme="minorHAnsi"/>
                <w:szCs w:val="22"/>
              </w:rPr>
            </w:pPr>
            <w:r w:rsidRPr="00C55C4D">
              <w:rPr>
                <w:rFonts w:asciiTheme="minorHAnsi" w:hAnsiTheme="minorHAnsi" w:cs="ArialNarrow"/>
                <w:szCs w:val="22"/>
              </w:rPr>
              <w:t>przedsiębiorstwa</w:t>
            </w:r>
          </w:p>
        </w:tc>
        <w:tc>
          <w:tcPr>
            <w:tcW w:w="2442" w:type="pct"/>
            <w:shd w:val="clear" w:color="auto" w:fill="auto"/>
          </w:tcPr>
          <w:p w:rsidR="001E4237" w:rsidRPr="00C55C4D" w:rsidRDefault="001E4237" w:rsidP="00762973">
            <w:pPr>
              <w:spacing w:before="0" w:line="240" w:lineRule="auto"/>
              <w:rPr>
                <w:rFonts w:asciiTheme="minorHAnsi" w:hAnsiTheme="minorHAnsi"/>
                <w:szCs w:val="22"/>
                <w:lang w:val="en-US"/>
              </w:rPr>
            </w:pPr>
            <w:r w:rsidRPr="00C55C4D">
              <w:rPr>
                <w:rFonts w:asciiTheme="minorHAnsi" w:hAnsiTheme="minorHAnsi"/>
                <w:szCs w:val="22"/>
                <w:lang w:val="en-US"/>
              </w:rPr>
              <w:t xml:space="preserve">Number of enterprises receiving support in forms of non-refundable direct financial support conditional only to completion of project (grants). </w:t>
            </w:r>
          </w:p>
          <w:p w:rsidR="001E4237" w:rsidRPr="00C55C4D" w:rsidRDefault="001E4237" w:rsidP="00762973">
            <w:pPr>
              <w:spacing w:before="0" w:line="240" w:lineRule="auto"/>
              <w:rPr>
                <w:rFonts w:asciiTheme="minorHAnsi" w:hAnsiTheme="minorHAnsi"/>
                <w:szCs w:val="22"/>
                <w:lang w:val="en-US"/>
              </w:rPr>
            </w:pPr>
            <w:r w:rsidRPr="00C55C4D">
              <w:rPr>
                <w:rFonts w:asciiTheme="minorHAnsi" w:hAnsiTheme="minorHAnsi"/>
                <w:szCs w:val="22"/>
                <w:lang w:val="en-US"/>
              </w:rPr>
              <w:t>Subset of 'Number of enterprises receiving support.</w:t>
            </w:r>
          </w:p>
          <w:p w:rsidR="001E4237" w:rsidRPr="00C55C4D" w:rsidRDefault="001E4237" w:rsidP="00762973">
            <w:pPr>
              <w:spacing w:before="0" w:line="240" w:lineRule="auto"/>
              <w:rPr>
                <w:rFonts w:asciiTheme="minorHAnsi" w:hAnsiTheme="minorHAnsi"/>
                <w:szCs w:val="22"/>
                <w:lang w:val="en-US"/>
              </w:rPr>
            </w:pPr>
          </w:p>
          <w:p w:rsidR="001E4237" w:rsidRPr="00C55C4D" w:rsidRDefault="001E4237" w:rsidP="00762973">
            <w:pPr>
              <w:spacing w:before="0" w:line="240" w:lineRule="auto"/>
              <w:rPr>
                <w:rFonts w:asciiTheme="minorHAnsi" w:hAnsiTheme="minorHAnsi"/>
                <w:b/>
                <w:szCs w:val="22"/>
              </w:rPr>
            </w:pPr>
            <w:r w:rsidRPr="00C55C4D">
              <w:rPr>
                <w:rFonts w:asciiTheme="minorHAnsi" w:hAnsiTheme="minorHAnsi"/>
                <w:b/>
                <w:szCs w:val="22"/>
              </w:rPr>
              <w:t>Wersja robocza:</w:t>
            </w:r>
          </w:p>
          <w:p w:rsidR="001E4237" w:rsidRPr="00C55C4D" w:rsidRDefault="001E4237" w:rsidP="00795831">
            <w:pPr>
              <w:spacing w:before="0" w:line="240" w:lineRule="auto"/>
              <w:rPr>
                <w:rFonts w:asciiTheme="minorHAnsi" w:hAnsiTheme="minorHAnsi"/>
                <w:szCs w:val="22"/>
              </w:rPr>
            </w:pPr>
            <w:r w:rsidRPr="00C55C4D">
              <w:rPr>
                <w:rFonts w:asciiTheme="minorHAnsi" w:hAnsiTheme="minorHAnsi"/>
                <w:szCs w:val="22"/>
              </w:rPr>
              <w:t>Liczba przedsiębiorstw otrzymujących wsparcie w formie bezzwrotnego, bezpośredniego wsparcia finansowego pod warunkiem zakończenia projektu (dotacje).</w:t>
            </w:r>
          </w:p>
          <w:p w:rsidR="001E4237" w:rsidRPr="00C55C4D" w:rsidRDefault="001E4237" w:rsidP="00762973">
            <w:pPr>
              <w:spacing w:before="0" w:line="240" w:lineRule="auto"/>
              <w:rPr>
                <w:rFonts w:asciiTheme="minorHAnsi" w:hAnsiTheme="minorHAnsi" w:cs="Arial"/>
              </w:rPr>
            </w:pPr>
            <w:r w:rsidRPr="00C55C4D">
              <w:rPr>
                <w:rFonts w:asciiTheme="minorHAnsi" w:hAnsiTheme="minorHAnsi"/>
              </w:rPr>
              <w:t xml:space="preserve">Definicja przedsiębiorstwa - </w:t>
            </w:r>
            <w:r w:rsidRPr="00C55C4D">
              <w:rPr>
                <w:rFonts w:asciiTheme="minorHAnsi" w:hAnsiTheme="minorHAnsi" w:cs="Arial"/>
              </w:rPr>
              <w:t>w oparciu o Załącznik I do Rozporządzenia Komisji (UE) nr 651/2014 z dnia 17 czerwca 2014 r. uznającego niektóre rodzaje pomocy za zgodne z rynkiem wewnętrznym w zastosowaniu art. 107 i 108 Traktatu.</w:t>
            </w:r>
          </w:p>
          <w:p w:rsidR="001E4237" w:rsidRPr="00C55C4D" w:rsidRDefault="001E4237" w:rsidP="00762973">
            <w:pPr>
              <w:spacing w:before="0" w:line="240" w:lineRule="auto"/>
              <w:rPr>
                <w:rFonts w:asciiTheme="minorHAnsi" w:hAnsiTheme="minorHAnsi"/>
                <w:szCs w:val="22"/>
              </w:rPr>
            </w:pPr>
          </w:p>
          <w:p w:rsidR="001E4237" w:rsidRPr="00C55C4D" w:rsidRDefault="001E4237" w:rsidP="00762973">
            <w:pPr>
              <w:spacing w:before="0" w:line="240" w:lineRule="auto"/>
              <w:rPr>
                <w:rFonts w:asciiTheme="minorHAnsi" w:hAnsiTheme="minorHAnsi" w:cs="Arial"/>
                <w:szCs w:val="22"/>
              </w:rPr>
            </w:pPr>
            <w:r w:rsidRPr="00C55C4D">
              <w:rPr>
                <w:rFonts w:asciiTheme="minorHAnsi" w:hAnsiTheme="minorHAnsi"/>
                <w:szCs w:val="22"/>
              </w:rPr>
              <w:t>Wskaźnik „</w:t>
            </w:r>
            <w:r w:rsidRPr="00C55C4D">
              <w:rPr>
                <w:rFonts w:asciiTheme="minorHAnsi" w:hAnsiTheme="minorHAnsi" w:cs="Arial"/>
                <w:szCs w:val="22"/>
              </w:rPr>
              <w:t>Liczba przedsiębiorstw otrzymujących dotacje” występuje łącznie ze wskaźnikiem „Liczba przedsiębiorstw otrzymujących wsparcie”.</w:t>
            </w:r>
          </w:p>
          <w:p w:rsidR="001E4237" w:rsidRDefault="001E4237" w:rsidP="00E428FC">
            <w:pPr>
              <w:spacing w:before="0" w:line="240" w:lineRule="auto"/>
              <w:rPr>
                <w:rFonts w:asciiTheme="minorHAnsi" w:hAnsiTheme="minorHAnsi"/>
                <w:szCs w:val="22"/>
              </w:rPr>
            </w:pPr>
          </w:p>
          <w:p w:rsidR="001E4237" w:rsidRPr="00C40265" w:rsidRDefault="001E4237" w:rsidP="00E428FC">
            <w:pPr>
              <w:spacing w:before="0" w:line="240" w:lineRule="auto"/>
              <w:rPr>
                <w:rFonts w:asciiTheme="minorHAnsi" w:hAnsiTheme="minorHAnsi"/>
                <w:szCs w:val="22"/>
                <w:u w:val="single"/>
              </w:rPr>
            </w:pPr>
            <w:r w:rsidRPr="000434B4">
              <w:rPr>
                <w:rFonts w:asciiTheme="minorHAnsi" w:hAnsiTheme="minorHAnsi"/>
                <w:szCs w:val="22"/>
                <w:u w:val="single"/>
              </w:rPr>
              <w:t>Wskaźnik obligatoryjny dla konkurs</w:t>
            </w:r>
            <w:r>
              <w:rPr>
                <w:rFonts w:asciiTheme="minorHAnsi" w:hAnsiTheme="minorHAnsi"/>
                <w:szCs w:val="22"/>
                <w:u w:val="single"/>
              </w:rPr>
              <w:t>u.</w:t>
            </w:r>
          </w:p>
        </w:tc>
        <w:tc>
          <w:tcPr>
            <w:tcW w:w="973" w:type="pct"/>
          </w:tcPr>
          <w:p w:rsidR="001E4237" w:rsidRPr="00C55C4D" w:rsidRDefault="001E4237" w:rsidP="00EE4C8C">
            <w:pPr>
              <w:spacing w:before="0" w:line="240" w:lineRule="auto"/>
              <w:jc w:val="center"/>
              <w:rPr>
                <w:rFonts w:asciiTheme="minorHAnsi" w:hAnsiTheme="minorHAnsi"/>
                <w:szCs w:val="22"/>
              </w:rPr>
            </w:pPr>
            <w:r w:rsidRPr="00C55C4D">
              <w:rPr>
                <w:rFonts w:asciiTheme="minorHAnsi" w:hAnsiTheme="minorHAnsi"/>
                <w:szCs w:val="22"/>
              </w:rPr>
              <w:t>RPO WD 2014-2020</w:t>
            </w:r>
          </w:p>
        </w:tc>
      </w:tr>
      <w:tr w:rsidR="001E4237" w:rsidRPr="00C55C4D" w:rsidTr="003D2C3D">
        <w:trPr>
          <w:trHeight w:val="20"/>
          <w:jc w:val="center"/>
        </w:trPr>
        <w:tc>
          <w:tcPr>
            <w:tcW w:w="1127" w:type="pct"/>
            <w:shd w:val="clear" w:color="auto" w:fill="auto"/>
          </w:tcPr>
          <w:p w:rsidR="001E4237" w:rsidRPr="003578F3" w:rsidRDefault="00C846FF" w:rsidP="00331F09">
            <w:pPr>
              <w:spacing w:before="0" w:line="240" w:lineRule="auto"/>
              <w:rPr>
                <w:rFonts w:ascii="Calibri" w:hAnsi="Calibri" w:cs="Arial"/>
                <w:szCs w:val="22"/>
              </w:rPr>
            </w:pPr>
            <w:r w:rsidRPr="003578F3">
              <w:rPr>
                <w:rFonts w:ascii="Calibri" w:hAnsi="Calibri" w:cs="Arial"/>
                <w:szCs w:val="22"/>
              </w:rPr>
              <w:t>Liczba wspartych przedsięwzięć informacyjno- promocyjnych o charakterze międzynarodowym</w:t>
            </w:r>
          </w:p>
        </w:tc>
        <w:tc>
          <w:tcPr>
            <w:tcW w:w="458" w:type="pct"/>
          </w:tcPr>
          <w:p w:rsidR="001E4237" w:rsidRPr="002A1142" w:rsidRDefault="00C846FF" w:rsidP="00332CDB">
            <w:pPr>
              <w:spacing w:before="0" w:line="240" w:lineRule="auto"/>
              <w:jc w:val="both"/>
              <w:rPr>
                <w:rFonts w:ascii="Calibri" w:eastAsia="Calibri" w:hAnsi="Calibri"/>
                <w:szCs w:val="22"/>
                <w:lang w:eastAsia="en-US"/>
              </w:rPr>
            </w:pPr>
            <w:r w:rsidRPr="002A1142">
              <w:rPr>
                <w:rFonts w:ascii="Calibri" w:eastAsia="Calibri" w:hAnsi="Calibri"/>
                <w:szCs w:val="22"/>
                <w:lang w:eastAsia="en-US"/>
              </w:rPr>
              <w:t>szt.</w:t>
            </w:r>
          </w:p>
          <w:p w:rsidR="001E4237" w:rsidRPr="002A1142" w:rsidRDefault="001E4237" w:rsidP="00332CDB">
            <w:pPr>
              <w:spacing w:before="0" w:line="240" w:lineRule="auto"/>
              <w:jc w:val="both"/>
              <w:rPr>
                <w:rFonts w:ascii="Calibri" w:eastAsia="Calibri" w:hAnsi="Calibri"/>
                <w:szCs w:val="22"/>
                <w:lang w:eastAsia="en-US"/>
              </w:rPr>
            </w:pPr>
          </w:p>
        </w:tc>
        <w:tc>
          <w:tcPr>
            <w:tcW w:w="2442" w:type="pct"/>
            <w:shd w:val="clear" w:color="auto" w:fill="auto"/>
          </w:tcPr>
          <w:p w:rsidR="007F0EF2" w:rsidRPr="002A1142" w:rsidRDefault="007F0EF2" w:rsidP="007F0EF2">
            <w:pPr>
              <w:spacing w:before="0" w:line="240" w:lineRule="auto"/>
              <w:rPr>
                <w:rFonts w:asciiTheme="minorHAnsi" w:hAnsiTheme="minorHAnsi"/>
                <w:szCs w:val="22"/>
              </w:rPr>
            </w:pPr>
            <w:r w:rsidRPr="002A1142">
              <w:rPr>
                <w:rFonts w:asciiTheme="minorHAnsi" w:hAnsiTheme="minorHAnsi"/>
                <w:szCs w:val="22"/>
              </w:rPr>
              <w:t>Liczba przedsięwzięć z zakresu informacji i promocji skierowanych do odbiorców spoza kraju, mających na celu</w:t>
            </w:r>
          </w:p>
          <w:p w:rsidR="007F0EF2" w:rsidRPr="002A1142" w:rsidRDefault="007F0EF2" w:rsidP="007F0EF2">
            <w:pPr>
              <w:spacing w:before="0" w:line="240" w:lineRule="auto"/>
              <w:rPr>
                <w:rFonts w:asciiTheme="minorHAnsi" w:hAnsiTheme="minorHAnsi"/>
                <w:szCs w:val="22"/>
              </w:rPr>
            </w:pPr>
            <w:r w:rsidRPr="002A1142">
              <w:rPr>
                <w:rFonts w:asciiTheme="minorHAnsi" w:hAnsiTheme="minorHAnsi"/>
                <w:szCs w:val="22"/>
              </w:rPr>
              <w:t>poprawę wizerunku polskiej/regionalnej gospodarki wśród partnerów międzynarodowych oraz poprawę dostępu do</w:t>
            </w:r>
          </w:p>
          <w:p w:rsidR="007F0EF2" w:rsidRPr="002A1142" w:rsidRDefault="007F0EF2" w:rsidP="007F0EF2">
            <w:pPr>
              <w:spacing w:before="0" w:line="240" w:lineRule="auto"/>
              <w:rPr>
                <w:rFonts w:asciiTheme="minorHAnsi" w:hAnsiTheme="minorHAnsi"/>
                <w:szCs w:val="22"/>
              </w:rPr>
            </w:pPr>
            <w:r w:rsidRPr="002A1142">
              <w:rPr>
                <w:rFonts w:asciiTheme="minorHAnsi" w:hAnsiTheme="minorHAnsi"/>
                <w:szCs w:val="22"/>
              </w:rPr>
              <w:t>informacji o Polsce/regionie, o możliwościach nawiązania kontaktów gospodarczych itp. Przedsięwzięcie informacyjnopromocyjne</w:t>
            </w:r>
          </w:p>
          <w:p w:rsidR="007F0EF2" w:rsidRPr="002A1142" w:rsidRDefault="007F0EF2" w:rsidP="007F0EF2">
            <w:pPr>
              <w:spacing w:before="0" w:line="240" w:lineRule="auto"/>
              <w:rPr>
                <w:rFonts w:asciiTheme="minorHAnsi" w:hAnsiTheme="minorHAnsi"/>
                <w:szCs w:val="22"/>
              </w:rPr>
            </w:pPr>
            <w:r w:rsidRPr="002A1142">
              <w:rPr>
                <w:rFonts w:asciiTheme="minorHAnsi" w:hAnsiTheme="minorHAnsi"/>
                <w:szCs w:val="22"/>
              </w:rPr>
              <w:t>swoim zakresem może obejmować wykorzystanie różnorodnych instrumentów promocyjnych oraz</w:t>
            </w:r>
          </w:p>
          <w:p w:rsidR="007F0EF2" w:rsidRPr="002A1142" w:rsidRDefault="007F0EF2" w:rsidP="007F0EF2">
            <w:pPr>
              <w:spacing w:before="0" w:line="240" w:lineRule="auto"/>
              <w:rPr>
                <w:rFonts w:asciiTheme="minorHAnsi" w:hAnsiTheme="minorHAnsi"/>
                <w:szCs w:val="22"/>
              </w:rPr>
            </w:pPr>
            <w:r w:rsidRPr="002A1142">
              <w:rPr>
                <w:rFonts w:asciiTheme="minorHAnsi" w:hAnsiTheme="minorHAnsi"/>
                <w:szCs w:val="22"/>
              </w:rPr>
              <w:t>kanałów informacyjnych. Nie należy utożsamiać przedsięwzięcia promocyjnego z pojedynczym instrumentem</w:t>
            </w:r>
          </w:p>
          <w:p w:rsidR="001E4237" w:rsidRPr="002A1142" w:rsidRDefault="007F0EF2" w:rsidP="007F0EF2">
            <w:pPr>
              <w:spacing w:before="0" w:line="240" w:lineRule="auto"/>
              <w:rPr>
                <w:rFonts w:asciiTheme="minorHAnsi" w:hAnsiTheme="minorHAnsi"/>
                <w:szCs w:val="22"/>
              </w:rPr>
            </w:pPr>
            <w:r w:rsidRPr="002A1142">
              <w:rPr>
                <w:rFonts w:asciiTheme="minorHAnsi" w:hAnsiTheme="minorHAnsi"/>
                <w:szCs w:val="22"/>
              </w:rPr>
              <w:t>promocyjnym w ramach kompleksowego przedsięwzięcia.</w:t>
            </w:r>
          </w:p>
        </w:tc>
        <w:tc>
          <w:tcPr>
            <w:tcW w:w="973" w:type="pct"/>
          </w:tcPr>
          <w:p w:rsidR="001E4237" w:rsidRPr="00C55C4D" w:rsidRDefault="00C846FF" w:rsidP="00EE4C8C">
            <w:pPr>
              <w:spacing w:before="0" w:line="240" w:lineRule="auto"/>
              <w:jc w:val="center"/>
              <w:rPr>
                <w:rFonts w:asciiTheme="minorHAnsi" w:hAnsiTheme="minorHAnsi"/>
                <w:szCs w:val="22"/>
              </w:rPr>
            </w:pPr>
            <w:r w:rsidRPr="00C55C4D">
              <w:rPr>
                <w:rFonts w:asciiTheme="minorHAnsi" w:hAnsiTheme="minorHAnsi"/>
                <w:szCs w:val="22"/>
              </w:rPr>
              <w:t>SZOOP RPO WD  2014-2020</w:t>
            </w:r>
          </w:p>
        </w:tc>
      </w:tr>
      <w:tr w:rsidR="001E4237" w:rsidRPr="00C55C4D" w:rsidTr="003D2C3D">
        <w:trPr>
          <w:trHeight w:val="20"/>
          <w:jc w:val="center"/>
        </w:trPr>
        <w:tc>
          <w:tcPr>
            <w:tcW w:w="1127" w:type="pct"/>
            <w:shd w:val="clear" w:color="auto" w:fill="auto"/>
          </w:tcPr>
          <w:p w:rsidR="001E4237" w:rsidRPr="003578F3" w:rsidRDefault="007D5D47" w:rsidP="00331F09">
            <w:pPr>
              <w:spacing w:before="0" w:line="240" w:lineRule="auto"/>
              <w:rPr>
                <w:rFonts w:ascii="Calibri" w:hAnsi="Calibri" w:cs="Arial"/>
                <w:szCs w:val="22"/>
              </w:rPr>
            </w:pPr>
            <w:r w:rsidRPr="003578F3">
              <w:rPr>
                <w:rFonts w:ascii="Calibri" w:hAnsi="Calibri" w:cs="Arial"/>
                <w:szCs w:val="22"/>
              </w:rPr>
              <w:lastRenderedPageBreak/>
              <w:t>Liczba wspartych przedsięwzięć informacyjno- promocyjnych o charakterze krajowym</w:t>
            </w:r>
          </w:p>
        </w:tc>
        <w:tc>
          <w:tcPr>
            <w:tcW w:w="458" w:type="pct"/>
          </w:tcPr>
          <w:p w:rsidR="007D5D47" w:rsidRPr="002A1142" w:rsidRDefault="007D5D47" w:rsidP="007D5D47">
            <w:pPr>
              <w:spacing w:before="0" w:line="240" w:lineRule="auto"/>
              <w:jc w:val="both"/>
              <w:rPr>
                <w:rFonts w:ascii="Calibri" w:eastAsia="Calibri" w:hAnsi="Calibri"/>
                <w:szCs w:val="22"/>
                <w:lang w:eastAsia="en-US"/>
              </w:rPr>
            </w:pPr>
            <w:r w:rsidRPr="002A1142">
              <w:rPr>
                <w:rFonts w:ascii="Calibri" w:eastAsia="Calibri" w:hAnsi="Calibri"/>
                <w:szCs w:val="22"/>
                <w:lang w:eastAsia="en-US"/>
              </w:rPr>
              <w:t>szt.</w:t>
            </w:r>
          </w:p>
          <w:p w:rsidR="001E4237" w:rsidRPr="002A1142" w:rsidRDefault="001E4237" w:rsidP="00332CDB">
            <w:pPr>
              <w:spacing w:before="0" w:line="240" w:lineRule="auto"/>
              <w:jc w:val="both"/>
              <w:rPr>
                <w:rFonts w:ascii="Calibri" w:eastAsia="Calibri" w:hAnsi="Calibri"/>
                <w:szCs w:val="22"/>
                <w:lang w:eastAsia="en-US"/>
              </w:rPr>
            </w:pPr>
          </w:p>
        </w:tc>
        <w:tc>
          <w:tcPr>
            <w:tcW w:w="2442" w:type="pct"/>
            <w:shd w:val="clear" w:color="auto" w:fill="auto"/>
          </w:tcPr>
          <w:p w:rsidR="007F0EF2" w:rsidRPr="002A1142" w:rsidRDefault="007F0EF2" w:rsidP="007F0EF2">
            <w:pPr>
              <w:spacing w:before="0" w:line="240" w:lineRule="auto"/>
              <w:rPr>
                <w:rFonts w:asciiTheme="minorHAnsi" w:hAnsiTheme="minorHAnsi"/>
                <w:szCs w:val="22"/>
              </w:rPr>
            </w:pPr>
            <w:r w:rsidRPr="002A1142">
              <w:rPr>
                <w:rFonts w:asciiTheme="minorHAnsi" w:hAnsiTheme="minorHAnsi"/>
                <w:szCs w:val="22"/>
              </w:rPr>
              <w:t>Liczba przedsięwzięć z zakresu informacji i promocji skierowanych do odbiorców w obrębie kraju, mających na celu</w:t>
            </w:r>
          </w:p>
          <w:p w:rsidR="007F0EF2" w:rsidRPr="002A1142" w:rsidRDefault="007F0EF2" w:rsidP="007F0EF2">
            <w:pPr>
              <w:spacing w:before="0" w:line="240" w:lineRule="auto"/>
              <w:rPr>
                <w:rFonts w:asciiTheme="minorHAnsi" w:hAnsiTheme="minorHAnsi"/>
                <w:szCs w:val="22"/>
              </w:rPr>
            </w:pPr>
            <w:r w:rsidRPr="002A1142">
              <w:rPr>
                <w:rFonts w:asciiTheme="minorHAnsi" w:hAnsiTheme="minorHAnsi"/>
                <w:szCs w:val="22"/>
              </w:rPr>
              <w:t>poprawę wizerunku regionalnej gospodarki wśród partnerów krajowych oraz poprawę dostępu do informacji o regionie,</w:t>
            </w:r>
          </w:p>
          <w:p w:rsidR="007F0EF2" w:rsidRPr="002A1142" w:rsidRDefault="007F0EF2" w:rsidP="007F0EF2">
            <w:pPr>
              <w:spacing w:before="0" w:line="240" w:lineRule="auto"/>
              <w:rPr>
                <w:rFonts w:asciiTheme="minorHAnsi" w:hAnsiTheme="minorHAnsi"/>
                <w:szCs w:val="22"/>
              </w:rPr>
            </w:pPr>
            <w:r w:rsidRPr="002A1142">
              <w:rPr>
                <w:rFonts w:asciiTheme="minorHAnsi" w:hAnsiTheme="minorHAnsi"/>
                <w:szCs w:val="22"/>
              </w:rPr>
              <w:t>o możliwościach nawiązania kontaktów gospodarczych itp. Przedsięwzięcie informacyjno-promocyjne swoim zakresem</w:t>
            </w:r>
          </w:p>
          <w:p w:rsidR="007F0EF2" w:rsidRPr="002A1142" w:rsidRDefault="007F0EF2" w:rsidP="007F0EF2">
            <w:pPr>
              <w:spacing w:before="0" w:line="240" w:lineRule="auto"/>
              <w:rPr>
                <w:rFonts w:asciiTheme="minorHAnsi" w:hAnsiTheme="minorHAnsi"/>
                <w:szCs w:val="22"/>
              </w:rPr>
            </w:pPr>
            <w:r w:rsidRPr="002A1142">
              <w:rPr>
                <w:rFonts w:asciiTheme="minorHAnsi" w:hAnsiTheme="minorHAnsi"/>
                <w:szCs w:val="22"/>
              </w:rPr>
              <w:t>może obejmować wykorzystanie różnorodnych instrumentów promocyjnych oraz kanałów informacyjnych. Nie należy</w:t>
            </w:r>
          </w:p>
          <w:p w:rsidR="007F0EF2" w:rsidRPr="002A1142" w:rsidRDefault="007F0EF2" w:rsidP="007F0EF2">
            <w:pPr>
              <w:spacing w:before="0" w:line="240" w:lineRule="auto"/>
              <w:rPr>
                <w:rFonts w:asciiTheme="minorHAnsi" w:hAnsiTheme="minorHAnsi"/>
                <w:szCs w:val="22"/>
              </w:rPr>
            </w:pPr>
            <w:r w:rsidRPr="002A1142">
              <w:rPr>
                <w:rFonts w:asciiTheme="minorHAnsi" w:hAnsiTheme="minorHAnsi"/>
                <w:szCs w:val="22"/>
              </w:rPr>
              <w:t>utożsamiać przedsięwzięcia promocyjnego z pojedynczym instrumentem promocyjnym w ramach kompleksowego</w:t>
            </w:r>
          </w:p>
          <w:p w:rsidR="001E4237" w:rsidRPr="002A1142" w:rsidRDefault="007F0EF2" w:rsidP="007F0EF2">
            <w:pPr>
              <w:spacing w:before="0" w:line="240" w:lineRule="auto"/>
              <w:rPr>
                <w:rFonts w:asciiTheme="minorHAnsi" w:hAnsiTheme="minorHAnsi"/>
                <w:szCs w:val="22"/>
              </w:rPr>
            </w:pPr>
            <w:r w:rsidRPr="002A1142">
              <w:rPr>
                <w:rFonts w:asciiTheme="minorHAnsi" w:hAnsiTheme="minorHAnsi"/>
                <w:szCs w:val="22"/>
              </w:rPr>
              <w:t>przedsięwzięcia.</w:t>
            </w:r>
          </w:p>
        </w:tc>
        <w:tc>
          <w:tcPr>
            <w:tcW w:w="973" w:type="pct"/>
          </w:tcPr>
          <w:p w:rsidR="001E4237" w:rsidRPr="00C55C4D" w:rsidRDefault="001E4237" w:rsidP="00EE4C8C">
            <w:pPr>
              <w:spacing w:before="0" w:line="240" w:lineRule="auto"/>
              <w:jc w:val="center"/>
              <w:rPr>
                <w:rFonts w:asciiTheme="minorHAnsi" w:hAnsiTheme="minorHAnsi"/>
                <w:szCs w:val="22"/>
              </w:rPr>
            </w:pPr>
            <w:r w:rsidRPr="00C55C4D">
              <w:rPr>
                <w:rFonts w:asciiTheme="minorHAnsi" w:hAnsiTheme="minorHAnsi"/>
                <w:szCs w:val="22"/>
              </w:rPr>
              <w:t>SZOOP RPO WD  2014-2020</w:t>
            </w:r>
          </w:p>
        </w:tc>
      </w:tr>
      <w:tr w:rsidR="001E4237" w:rsidRPr="00C55C4D" w:rsidTr="003D2C3D">
        <w:trPr>
          <w:trHeight w:val="20"/>
          <w:jc w:val="center"/>
        </w:trPr>
        <w:tc>
          <w:tcPr>
            <w:tcW w:w="1127" w:type="pct"/>
            <w:shd w:val="clear" w:color="auto" w:fill="auto"/>
          </w:tcPr>
          <w:p w:rsidR="001E4237" w:rsidRPr="003578F3" w:rsidRDefault="007D5D47" w:rsidP="00331F09">
            <w:pPr>
              <w:spacing w:before="0" w:line="240" w:lineRule="auto"/>
              <w:rPr>
                <w:rFonts w:ascii="Calibri" w:hAnsi="Calibri" w:cs="Arial"/>
                <w:szCs w:val="22"/>
              </w:rPr>
            </w:pPr>
            <w:r w:rsidRPr="003578F3">
              <w:rPr>
                <w:rFonts w:ascii="Calibri" w:hAnsi="Calibri" w:cs="Arial"/>
                <w:szCs w:val="22"/>
              </w:rPr>
              <w:t xml:space="preserve">Liczba przedsiębiorstw wspartych w zakresie internacjonalizacji działalności </w:t>
            </w:r>
          </w:p>
        </w:tc>
        <w:tc>
          <w:tcPr>
            <w:tcW w:w="458" w:type="pct"/>
          </w:tcPr>
          <w:p w:rsidR="001E4237" w:rsidRPr="002A1142" w:rsidRDefault="001E4237" w:rsidP="00332CDB">
            <w:pPr>
              <w:spacing w:before="0" w:line="240" w:lineRule="auto"/>
              <w:jc w:val="both"/>
              <w:rPr>
                <w:rFonts w:ascii="Calibri" w:eastAsia="Calibri" w:hAnsi="Calibri"/>
                <w:szCs w:val="22"/>
                <w:lang w:eastAsia="en-US"/>
              </w:rPr>
            </w:pPr>
            <w:r w:rsidRPr="002A1142">
              <w:rPr>
                <w:rFonts w:ascii="Calibri" w:eastAsia="Calibri" w:hAnsi="Calibri"/>
                <w:szCs w:val="22"/>
                <w:lang w:eastAsia="en-US"/>
              </w:rPr>
              <w:t>szt.</w:t>
            </w:r>
          </w:p>
        </w:tc>
        <w:tc>
          <w:tcPr>
            <w:tcW w:w="2442" w:type="pct"/>
            <w:shd w:val="clear" w:color="auto" w:fill="auto"/>
          </w:tcPr>
          <w:p w:rsidR="007F0EF2" w:rsidRPr="002A1142" w:rsidRDefault="007F0EF2" w:rsidP="007F0EF2">
            <w:pPr>
              <w:spacing w:before="0" w:line="240" w:lineRule="auto"/>
              <w:rPr>
                <w:rFonts w:asciiTheme="minorHAnsi" w:hAnsiTheme="minorHAnsi"/>
                <w:szCs w:val="22"/>
              </w:rPr>
            </w:pPr>
            <w:r w:rsidRPr="002A1142">
              <w:rPr>
                <w:rFonts w:asciiTheme="minorHAnsi" w:hAnsiTheme="minorHAnsi"/>
                <w:szCs w:val="22"/>
              </w:rPr>
              <w:t>Liczba przedsiębiorstw, które w ramach realizowanego projektu uzyskały wsparcie w zakresie umiędzynarodowienia</w:t>
            </w:r>
          </w:p>
          <w:p w:rsidR="001E4237" w:rsidRPr="002A1142" w:rsidRDefault="007F0EF2" w:rsidP="007F0EF2">
            <w:pPr>
              <w:spacing w:before="0" w:line="240" w:lineRule="auto"/>
              <w:rPr>
                <w:rFonts w:asciiTheme="minorHAnsi" w:hAnsiTheme="minorHAnsi"/>
                <w:szCs w:val="22"/>
              </w:rPr>
            </w:pPr>
            <w:r w:rsidRPr="002A1142">
              <w:rPr>
                <w:rFonts w:asciiTheme="minorHAnsi" w:hAnsiTheme="minorHAnsi"/>
                <w:szCs w:val="22"/>
              </w:rPr>
              <w:t xml:space="preserve">działalności przedsiębiorstwa lub poprawy dostępu do rynków zagranicznych. </w:t>
            </w:r>
          </w:p>
        </w:tc>
        <w:tc>
          <w:tcPr>
            <w:tcW w:w="973" w:type="pct"/>
          </w:tcPr>
          <w:p w:rsidR="001E4237" w:rsidRPr="00C55C4D" w:rsidRDefault="001E4237" w:rsidP="00EE4C8C">
            <w:pPr>
              <w:spacing w:before="0" w:line="240" w:lineRule="auto"/>
              <w:jc w:val="center"/>
              <w:rPr>
                <w:rFonts w:asciiTheme="minorHAnsi" w:hAnsiTheme="minorHAnsi"/>
                <w:szCs w:val="22"/>
              </w:rPr>
            </w:pPr>
            <w:r w:rsidRPr="00C55C4D">
              <w:rPr>
                <w:rFonts w:asciiTheme="minorHAnsi" w:hAnsiTheme="minorHAnsi"/>
                <w:szCs w:val="22"/>
              </w:rPr>
              <w:t>SZOOP RPO WD  2014-2020</w:t>
            </w:r>
          </w:p>
        </w:tc>
      </w:tr>
      <w:tr w:rsidR="001E4237" w:rsidRPr="00C55C4D" w:rsidTr="00F02218">
        <w:trPr>
          <w:trHeight w:val="20"/>
          <w:jc w:val="center"/>
        </w:trPr>
        <w:tc>
          <w:tcPr>
            <w:tcW w:w="1127" w:type="pct"/>
            <w:shd w:val="clear" w:color="auto" w:fill="auto"/>
            <w:vAlign w:val="center"/>
          </w:tcPr>
          <w:p w:rsidR="001E4237" w:rsidRPr="00C55C4D" w:rsidRDefault="001E4237" w:rsidP="00EE4C8C">
            <w:pPr>
              <w:spacing w:before="0" w:line="240" w:lineRule="auto"/>
              <w:rPr>
                <w:rFonts w:asciiTheme="minorHAnsi" w:eastAsiaTheme="minorHAnsi" w:hAnsiTheme="minorHAnsi"/>
                <w:szCs w:val="22"/>
                <w:lang w:eastAsia="en-US"/>
              </w:rPr>
            </w:pPr>
            <w:r w:rsidRPr="00C55C4D">
              <w:rPr>
                <w:rFonts w:asciiTheme="minorHAnsi" w:hAnsiTheme="minorHAnsi"/>
                <w:szCs w:val="22"/>
              </w:rPr>
              <w:t>Liczba obiektów dostosowanych do potrzeb osób z niepełnosprawnościami</w:t>
            </w:r>
          </w:p>
        </w:tc>
        <w:tc>
          <w:tcPr>
            <w:tcW w:w="458" w:type="pct"/>
            <w:vAlign w:val="center"/>
          </w:tcPr>
          <w:p w:rsidR="001E4237" w:rsidRPr="00C55C4D" w:rsidRDefault="001E4237" w:rsidP="00EE4C8C">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szt.</w:t>
            </w:r>
          </w:p>
        </w:tc>
        <w:tc>
          <w:tcPr>
            <w:tcW w:w="2442" w:type="pct"/>
            <w:shd w:val="clear" w:color="auto" w:fill="auto"/>
          </w:tcPr>
          <w:p w:rsidR="001E4237" w:rsidRPr="00C55C4D" w:rsidRDefault="001E4237" w:rsidP="007E73B8">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Wskaźnik odnosi się do liczby obiektów, które zaopatrzono w specjalne podjazdy, windy, urządzenia głośnomówiące, bądź inne udogodnienia (tj. usunięcie barier w dostępie, w szczególności barier architektonicznych) ułatwiające dostęp do tych obiektów i poruszanie się po nich osobom niepełnosprawnym ruchowo czy sensorycznie.</w:t>
            </w:r>
          </w:p>
          <w:p w:rsidR="001E4237" w:rsidRPr="00C55C4D" w:rsidRDefault="001E4237" w:rsidP="007E73B8">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Jako obiekty budowlane należy rozumieć konstrukcje połączone z gruntem w sposób trwały, wykonane z materiałów budowlanych i elementów składowych, będące wynikiem prac budowlanych (wg. def. PKOB).</w:t>
            </w:r>
          </w:p>
          <w:p w:rsidR="001E4237" w:rsidRPr="00C55C4D" w:rsidRDefault="001E4237" w:rsidP="007E73B8">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Należy podać liczbę obiektów, a nie sprzętów, urządzeń itp., w które obiekty zaopatrzono.</w:t>
            </w:r>
          </w:p>
          <w:p w:rsidR="001E4237" w:rsidRPr="00C55C4D" w:rsidRDefault="001E4237" w:rsidP="007E73B8">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Jeśli instytucja, zakład itp. składa się z kilku obiektów, należy zliczyć wszystkie, które dostosowano do potrzeb osób niepełnosprawnych.</w:t>
            </w:r>
          </w:p>
        </w:tc>
        <w:tc>
          <w:tcPr>
            <w:tcW w:w="973" w:type="pct"/>
          </w:tcPr>
          <w:p w:rsidR="001E4237" w:rsidRPr="00C55C4D" w:rsidRDefault="001E4237" w:rsidP="003F1889">
            <w:pPr>
              <w:spacing w:before="0" w:line="240" w:lineRule="auto"/>
              <w:jc w:val="center"/>
              <w:rPr>
                <w:rFonts w:asciiTheme="minorHAnsi" w:eastAsiaTheme="minorHAnsi" w:hAnsiTheme="minorHAnsi"/>
                <w:szCs w:val="22"/>
                <w:lang w:eastAsia="en-US"/>
              </w:rPr>
            </w:pPr>
            <w:r w:rsidRPr="00C55C4D">
              <w:rPr>
                <w:rFonts w:asciiTheme="minorHAnsi" w:eastAsiaTheme="minorHAnsi" w:hAnsiTheme="minorHAnsi"/>
                <w:szCs w:val="22"/>
                <w:lang w:eastAsia="en-US"/>
              </w:rPr>
              <w:t>horyzontalny</w:t>
            </w:r>
          </w:p>
        </w:tc>
      </w:tr>
      <w:tr w:rsidR="001E4237" w:rsidRPr="00C55C4D" w:rsidTr="00F02218">
        <w:trPr>
          <w:trHeight w:val="20"/>
          <w:jc w:val="center"/>
        </w:trPr>
        <w:tc>
          <w:tcPr>
            <w:tcW w:w="1127" w:type="pct"/>
            <w:shd w:val="clear" w:color="auto" w:fill="auto"/>
          </w:tcPr>
          <w:p w:rsidR="001E4237" w:rsidRPr="00C55C4D" w:rsidRDefault="001E4237" w:rsidP="00EE4C8C">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Liczba osób objętych szkoleniami / doradztwem w zakresie kompetencji cyfrowych O/K/M</w:t>
            </w:r>
          </w:p>
        </w:tc>
        <w:tc>
          <w:tcPr>
            <w:tcW w:w="458" w:type="pct"/>
          </w:tcPr>
          <w:p w:rsidR="001E4237" w:rsidRPr="00C55C4D" w:rsidRDefault="001E4237" w:rsidP="00EE4C8C">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os.</w:t>
            </w:r>
          </w:p>
        </w:tc>
        <w:tc>
          <w:tcPr>
            <w:tcW w:w="2442" w:type="pct"/>
            <w:shd w:val="clear" w:color="auto" w:fill="auto"/>
          </w:tcPr>
          <w:p w:rsidR="001E4237" w:rsidRPr="00C55C4D" w:rsidRDefault="001E4237" w:rsidP="00EE4C8C">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 xml:space="preserve">Wskaźnik mierzy liczbę osób objętych szkoleniami / doradztwem w zakresie nabywania / doskonalenia umiejętności warunkujących efektywne korzystanie z mediów elektronicznych tj. m.in. korzystania z komputera, różnych rodzajów oprogramowania, </w:t>
            </w:r>
            <w:proofErr w:type="spellStart"/>
            <w:r w:rsidRPr="00C55C4D">
              <w:rPr>
                <w:rFonts w:asciiTheme="minorHAnsi" w:eastAsiaTheme="minorHAnsi" w:hAnsiTheme="minorHAnsi"/>
                <w:szCs w:val="22"/>
                <w:lang w:eastAsia="en-US"/>
              </w:rPr>
              <w:t>internetu</w:t>
            </w:r>
            <w:proofErr w:type="spellEnd"/>
            <w:r w:rsidRPr="00C55C4D">
              <w:rPr>
                <w:rFonts w:asciiTheme="minorHAnsi" w:eastAsiaTheme="minorHAnsi" w:hAnsiTheme="minorHAnsi"/>
                <w:szCs w:val="22"/>
                <w:lang w:eastAsia="en-US"/>
              </w:rPr>
              <w:t xml:space="preserve"> oraz kompetencji ściśle informatycznych (np. programowanie, </w:t>
            </w:r>
            <w:r w:rsidRPr="00C55C4D">
              <w:rPr>
                <w:rFonts w:asciiTheme="minorHAnsi" w:eastAsiaTheme="minorHAnsi" w:hAnsiTheme="minorHAnsi"/>
                <w:szCs w:val="22"/>
                <w:lang w:eastAsia="en-US"/>
              </w:rPr>
              <w:lastRenderedPageBreak/>
              <w:t xml:space="preserve">zarządzanie bazami danych, administracja sieciami, administracja witrynami internetowymi). </w:t>
            </w:r>
          </w:p>
          <w:p w:rsidR="001E4237" w:rsidRPr="00C55C4D" w:rsidRDefault="001E4237" w:rsidP="00EE4C8C">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Wskaźnik ma agregować wszystkie osoby objęte wsparciem w zakresie TIK we wszystkich programach i projektach, także tych, gdzie szkolenie dotyczy obsługi specyficznego systemu teleinformatycznego, którego wdrożenia dotyczy projekt. Taka sytuacja może wystąpić przy cross-</w:t>
            </w:r>
            <w:proofErr w:type="spellStart"/>
            <w:r w:rsidRPr="00C55C4D">
              <w:rPr>
                <w:rFonts w:asciiTheme="minorHAnsi" w:eastAsiaTheme="minorHAnsi" w:hAnsiTheme="minorHAnsi"/>
                <w:szCs w:val="22"/>
                <w:lang w:eastAsia="en-US"/>
              </w:rPr>
              <w:t>financingu</w:t>
            </w:r>
            <w:proofErr w:type="spellEnd"/>
            <w:r w:rsidRPr="00C55C4D">
              <w:rPr>
                <w:rFonts w:asciiTheme="minorHAnsi" w:eastAsiaTheme="minorHAnsi" w:hAnsiTheme="minorHAnsi"/>
                <w:szCs w:val="22"/>
                <w:lang w:eastAsia="en-US"/>
              </w:rPr>
              <w:t xml:space="preserve"> w projektach POPC i RPO dotyczących e-usług publicznych, ale również np. w POIŚ przy okazji wdrażania inteligentnych systemów transportowych. Identyfikacja charakteru i zakresu nabywanych kompetencji będzie możliwa dzięki możliwości pogrupowania wskaźnika według programów, osi priorytetowych i priorytetów inwestycyjnych.</w:t>
            </w:r>
          </w:p>
        </w:tc>
        <w:tc>
          <w:tcPr>
            <w:tcW w:w="973" w:type="pct"/>
          </w:tcPr>
          <w:p w:rsidR="001E4237" w:rsidRPr="00C55C4D" w:rsidRDefault="001E4237" w:rsidP="003F1889">
            <w:pPr>
              <w:spacing w:before="0" w:line="240" w:lineRule="auto"/>
              <w:jc w:val="center"/>
              <w:rPr>
                <w:rFonts w:asciiTheme="minorHAnsi" w:eastAsiaTheme="minorHAnsi" w:hAnsiTheme="minorHAnsi"/>
                <w:szCs w:val="22"/>
                <w:lang w:eastAsia="en-US"/>
              </w:rPr>
            </w:pPr>
            <w:r w:rsidRPr="00C55C4D">
              <w:rPr>
                <w:rFonts w:asciiTheme="minorHAnsi" w:eastAsiaTheme="minorHAnsi" w:hAnsiTheme="minorHAnsi"/>
                <w:szCs w:val="22"/>
                <w:lang w:eastAsia="en-US"/>
              </w:rPr>
              <w:lastRenderedPageBreak/>
              <w:t>horyzontalny</w:t>
            </w:r>
          </w:p>
        </w:tc>
      </w:tr>
      <w:tr w:rsidR="001E4237" w:rsidRPr="00C55C4D" w:rsidTr="00F02218">
        <w:trPr>
          <w:trHeight w:val="20"/>
          <w:jc w:val="center"/>
        </w:trPr>
        <w:tc>
          <w:tcPr>
            <w:tcW w:w="1127" w:type="pct"/>
            <w:shd w:val="clear" w:color="auto" w:fill="auto"/>
          </w:tcPr>
          <w:p w:rsidR="001E4237" w:rsidRPr="00C55C4D" w:rsidRDefault="001E4237" w:rsidP="00EE4C8C">
            <w:pPr>
              <w:spacing w:before="0" w:line="240" w:lineRule="auto"/>
              <w:rPr>
                <w:rFonts w:asciiTheme="minorHAnsi" w:eastAsiaTheme="minorHAnsi" w:hAnsiTheme="minorHAnsi"/>
                <w:szCs w:val="22"/>
                <w:lang w:eastAsia="en-US"/>
              </w:rPr>
            </w:pPr>
            <w:r w:rsidRPr="00C55C4D">
              <w:rPr>
                <w:rFonts w:asciiTheme="minorHAnsi" w:eastAsiaTheme="minorHAnsi" w:hAnsiTheme="minorHAnsi" w:cs="Arial"/>
                <w:szCs w:val="22"/>
                <w:lang w:eastAsia="en-US"/>
              </w:rPr>
              <w:t>Liczba projektów, w których sfinansowano koszty racjonalnych usprawnień dla osób z niepełnosprawnościami</w:t>
            </w:r>
          </w:p>
        </w:tc>
        <w:tc>
          <w:tcPr>
            <w:tcW w:w="458" w:type="pct"/>
          </w:tcPr>
          <w:p w:rsidR="001E4237" w:rsidRPr="00C55C4D" w:rsidRDefault="001E4237" w:rsidP="00EE4C8C">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t xml:space="preserve">szt. </w:t>
            </w:r>
          </w:p>
        </w:tc>
        <w:tc>
          <w:tcPr>
            <w:tcW w:w="2442" w:type="pct"/>
            <w:shd w:val="clear" w:color="auto" w:fill="auto"/>
          </w:tcPr>
          <w:p w:rsidR="001E4237" w:rsidRPr="00C55C4D" w:rsidRDefault="001E4237" w:rsidP="00EE4C8C">
            <w:pPr>
              <w:autoSpaceDE w:val="0"/>
              <w:autoSpaceDN w:val="0"/>
              <w:adjustRightInd w:val="0"/>
              <w:spacing w:before="0" w:line="240" w:lineRule="auto"/>
              <w:rPr>
                <w:rFonts w:asciiTheme="minorHAnsi" w:eastAsiaTheme="minorHAnsi" w:hAnsiTheme="minorHAnsi" w:cs="Arial"/>
                <w:szCs w:val="22"/>
                <w:lang w:eastAsia="en-US"/>
              </w:rPr>
            </w:pPr>
            <w:r w:rsidRPr="00C55C4D">
              <w:rPr>
                <w:rFonts w:asciiTheme="minorHAnsi" w:eastAsiaTheme="minorHAnsi" w:hAnsiTheme="minorHAnsi" w:cs="Arial"/>
                <w:szCs w:val="22"/>
                <w:lang w:eastAsia="en-US"/>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Wskaźnik mierzony w momencie rozliczenia wydatku związanego z racjonalnymi usprawnieniami. </w:t>
            </w:r>
          </w:p>
          <w:p w:rsidR="001E4237" w:rsidRPr="00C55C4D" w:rsidRDefault="001E4237" w:rsidP="00EE4C8C">
            <w:pPr>
              <w:autoSpaceDE w:val="0"/>
              <w:autoSpaceDN w:val="0"/>
              <w:adjustRightInd w:val="0"/>
              <w:spacing w:before="0" w:line="240" w:lineRule="auto"/>
              <w:rPr>
                <w:rFonts w:asciiTheme="minorHAnsi" w:eastAsiaTheme="minorHAnsi" w:hAnsiTheme="minorHAnsi" w:cs="Arial"/>
                <w:szCs w:val="22"/>
                <w:lang w:eastAsia="en-US"/>
              </w:rPr>
            </w:pPr>
            <w:r w:rsidRPr="00C55C4D">
              <w:rPr>
                <w:rFonts w:asciiTheme="minorHAnsi" w:eastAsiaTheme="minorHAnsi" w:hAnsiTheme="minorHAnsi" w:cs="Arial"/>
                <w:szCs w:val="22"/>
                <w:lang w:eastAsia="en-US"/>
              </w:rPr>
              <w:t xml:space="preserve">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odpowiednie dostosowanie wyżywienia. </w:t>
            </w:r>
          </w:p>
          <w:p w:rsidR="001E4237" w:rsidRPr="00C55C4D" w:rsidRDefault="001E4237" w:rsidP="00EE4C8C">
            <w:pPr>
              <w:spacing w:before="0" w:line="240" w:lineRule="auto"/>
              <w:rPr>
                <w:rFonts w:asciiTheme="minorHAnsi" w:eastAsiaTheme="minorHAnsi" w:hAnsiTheme="minorHAnsi"/>
                <w:szCs w:val="22"/>
                <w:lang w:eastAsia="en-US"/>
              </w:rPr>
            </w:pPr>
            <w:r w:rsidRPr="00C55C4D">
              <w:rPr>
                <w:rFonts w:asciiTheme="minorHAnsi" w:eastAsiaTheme="minorHAnsi" w:hAnsiTheme="minorHAnsi" w:cs="Arial"/>
                <w:szCs w:val="22"/>
                <w:lang w:eastAsia="en-US"/>
              </w:rPr>
              <w:t xml:space="preserve">Definicja na podstawie </w:t>
            </w:r>
            <w:r w:rsidRPr="00C55C4D">
              <w:rPr>
                <w:rFonts w:asciiTheme="minorHAnsi" w:eastAsiaTheme="minorHAnsi" w:hAnsiTheme="minorHAnsi" w:cs="Arial"/>
                <w:i/>
                <w:iCs/>
                <w:szCs w:val="22"/>
                <w:lang w:eastAsia="en-US"/>
              </w:rPr>
              <w:t>Wytycznych w zakresie realizacji zasady równości szans i niedyskryminacji, w tym dostępności dla osób z niepełnosprawnościami oraz równości szans kobiet i mężczyzn w ramach funduszy unijnych na lata 2014-2020</w:t>
            </w:r>
            <w:r w:rsidRPr="00C55C4D">
              <w:rPr>
                <w:rFonts w:asciiTheme="minorHAnsi" w:eastAsiaTheme="minorHAnsi" w:hAnsiTheme="minorHAnsi" w:cs="Arial"/>
                <w:szCs w:val="22"/>
                <w:lang w:eastAsia="en-US"/>
              </w:rPr>
              <w:t>.</w:t>
            </w:r>
          </w:p>
        </w:tc>
        <w:tc>
          <w:tcPr>
            <w:tcW w:w="973" w:type="pct"/>
          </w:tcPr>
          <w:p w:rsidR="001E4237" w:rsidRPr="00C55C4D" w:rsidRDefault="001E4237" w:rsidP="003F1889">
            <w:pPr>
              <w:autoSpaceDE w:val="0"/>
              <w:autoSpaceDN w:val="0"/>
              <w:adjustRightInd w:val="0"/>
              <w:spacing w:before="0" w:line="240" w:lineRule="auto"/>
              <w:jc w:val="center"/>
              <w:rPr>
                <w:rFonts w:asciiTheme="minorHAnsi" w:eastAsiaTheme="minorHAnsi" w:hAnsiTheme="minorHAnsi" w:cs="Arial"/>
                <w:szCs w:val="22"/>
                <w:lang w:eastAsia="en-US"/>
              </w:rPr>
            </w:pPr>
            <w:r w:rsidRPr="00C55C4D">
              <w:rPr>
                <w:rFonts w:asciiTheme="minorHAnsi" w:eastAsiaTheme="minorHAnsi" w:hAnsiTheme="minorHAnsi" w:cs="Arial"/>
                <w:szCs w:val="22"/>
                <w:lang w:eastAsia="en-US"/>
              </w:rPr>
              <w:t>horyzontalny</w:t>
            </w:r>
          </w:p>
        </w:tc>
      </w:tr>
      <w:tr w:rsidR="001E4237" w:rsidRPr="00C55C4D" w:rsidTr="00F02218">
        <w:trPr>
          <w:trHeight w:val="20"/>
          <w:jc w:val="center"/>
        </w:trPr>
        <w:tc>
          <w:tcPr>
            <w:tcW w:w="1127" w:type="pct"/>
            <w:shd w:val="clear" w:color="auto" w:fill="auto"/>
          </w:tcPr>
          <w:p w:rsidR="001E4237" w:rsidRPr="00C55C4D" w:rsidRDefault="001E4237" w:rsidP="0004456A">
            <w:pPr>
              <w:spacing w:before="0" w:line="240" w:lineRule="auto"/>
              <w:rPr>
                <w:rFonts w:ascii="Calibri" w:eastAsiaTheme="minorHAnsi" w:hAnsi="Calibri" w:cs="Arial"/>
                <w:szCs w:val="22"/>
                <w:lang w:eastAsia="en-US"/>
              </w:rPr>
            </w:pPr>
            <w:r w:rsidRPr="00DF2FA3">
              <w:rPr>
                <w:rFonts w:ascii="Calibri" w:hAnsi="Calibri"/>
              </w:rPr>
              <w:t xml:space="preserve">Liczba podmiotów wykorzystujących technologie </w:t>
            </w:r>
            <w:r w:rsidRPr="00DF2FA3">
              <w:rPr>
                <w:rFonts w:ascii="Calibri" w:hAnsi="Calibri"/>
              </w:rPr>
              <w:lastRenderedPageBreak/>
              <w:t>informacyjno-komunikacyjne (TIK)</w:t>
            </w:r>
          </w:p>
        </w:tc>
        <w:tc>
          <w:tcPr>
            <w:tcW w:w="458" w:type="pct"/>
          </w:tcPr>
          <w:p w:rsidR="001E4237" w:rsidRPr="00C55C4D" w:rsidRDefault="001E4237" w:rsidP="00EE4C8C">
            <w:pPr>
              <w:spacing w:before="0" w:line="240" w:lineRule="auto"/>
              <w:rPr>
                <w:rFonts w:asciiTheme="minorHAnsi" w:eastAsiaTheme="minorHAnsi" w:hAnsiTheme="minorHAnsi"/>
                <w:szCs w:val="22"/>
                <w:lang w:eastAsia="en-US"/>
              </w:rPr>
            </w:pPr>
            <w:r w:rsidRPr="00C55C4D">
              <w:rPr>
                <w:rFonts w:asciiTheme="minorHAnsi" w:eastAsiaTheme="minorHAnsi" w:hAnsiTheme="minorHAnsi"/>
                <w:szCs w:val="22"/>
                <w:lang w:eastAsia="en-US"/>
              </w:rPr>
              <w:lastRenderedPageBreak/>
              <w:t>szt.</w:t>
            </w:r>
          </w:p>
        </w:tc>
        <w:tc>
          <w:tcPr>
            <w:tcW w:w="2442" w:type="pct"/>
            <w:shd w:val="clear" w:color="auto" w:fill="auto"/>
          </w:tcPr>
          <w:p w:rsidR="001E4237" w:rsidRPr="00C55C4D" w:rsidRDefault="001E4237" w:rsidP="007E73B8">
            <w:pPr>
              <w:spacing w:before="0" w:line="240" w:lineRule="auto"/>
              <w:jc w:val="both"/>
              <w:rPr>
                <w:rFonts w:asciiTheme="minorHAnsi" w:eastAsiaTheme="minorHAnsi" w:hAnsiTheme="minorHAnsi"/>
                <w:szCs w:val="22"/>
                <w:lang w:eastAsia="en-US"/>
              </w:rPr>
            </w:pPr>
            <w:r w:rsidRPr="00C55C4D">
              <w:rPr>
                <w:rFonts w:asciiTheme="minorHAnsi" w:eastAsiaTheme="minorHAnsi" w:hAnsiTheme="minorHAnsi"/>
                <w:szCs w:val="22"/>
                <w:lang w:eastAsia="en-US"/>
              </w:rPr>
              <w:t>Wskaźnik mierzy liczbę podmiotów, które w celu realizacji projektu zainwestowały w technologie informacyjno-komunikacyjne, a w przypadku projektów edukacyjno-</w:t>
            </w:r>
            <w:r w:rsidRPr="00C55C4D">
              <w:rPr>
                <w:rFonts w:asciiTheme="minorHAnsi" w:eastAsiaTheme="minorHAnsi" w:hAnsiTheme="minorHAnsi"/>
                <w:szCs w:val="22"/>
                <w:lang w:eastAsia="en-US"/>
              </w:rPr>
              <w:lastRenderedPageBreak/>
              <w:t>szkoleniowych, również podmiotów, które podjęły działania upowszechniające wykorzystanie TIK.</w:t>
            </w:r>
          </w:p>
          <w:p w:rsidR="001E4237" w:rsidRPr="00C55C4D" w:rsidRDefault="001E4237" w:rsidP="007E73B8">
            <w:pPr>
              <w:spacing w:before="0" w:line="240" w:lineRule="auto"/>
              <w:jc w:val="both"/>
              <w:rPr>
                <w:rFonts w:asciiTheme="minorHAnsi" w:eastAsiaTheme="minorHAnsi" w:hAnsiTheme="minorHAnsi"/>
                <w:szCs w:val="22"/>
                <w:lang w:eastAsia="en-US"/>
              </w:rPr>
            </w:pPr>
          </w:p>
          <w:p w:rsidR="001E4237" w:rsidRPr="00C55C4D" w:rsidRDefault="001E4237" w:rsidP="007E73B8">
            <w:pPr>
              <w:spacing w:before="0" w:line="240" w:lineRule="auto"/>
              <w:jc w:val="both"/>
              <w:rPr>
                <w:rFonts w:asciiTheme="minorHAnsi" w:eastAsiaTheme="minorHAnsi" w:hAnsiTheme="minorHAnsi"/>
                <w:szCs w:val="22"/>
                <w:lang w:eastAsia="en-US"/>
              </w:rPr>
            </w:pPr>
            <w:r w:rsidRPr="00C55C4D">
              <w:rPr>
                <w:rFonts w:asciiTheme="minorHAnsi" w:eastAsiaTheme="minorHAnsi" w:hAnsiTheme="minorHAnsi"/>
                <w:szCs w:val="22"/>
                <w:lang w:eastAsia="en-US"/>
              </w:rPr>
              <w:t>Przez technologie informacyjno-komunikacyjne (ang. ICT – Information and Communications Technology) należy rozumieć technologie pozyskiwania produkcji, gromadzenia, przechowywania, przesyłania, przetwarzania i rozpowszechniania informacji w formie elektronicznej oraz wszelkie działania zawiązane z produkcją i wykorzystaniem urządzeń telekomunikacyjnych i informatycznych oraz usług im towarzyszących działania edukacyjne i szkoleniowe.</w:t>
            </w:r>
          </w:p>
          <w:p w:rsidR="001E4237" w:rsidRPr="00C55C4D" w:rsidRDefault="001E4237" w:rsidP="007E73B8">
            <w:pPr>
              <w:spacing w:before="0" w:line="240" w:lineRule="auto"/>
              <w:jc w:val="both"/>
              <w:rPr>
                <w:rFonts w:asciiTheme="minorHAnsi" w:eastAsiaTheme="minorHAnsi" w:hAnsiTheme="minorHAnsi"/>
                <w:szCs w:val="22"/>
                <w:lang w:eastAsia="en-US"/>
              </w:rPr>
            </w:pPr>
          </w:p>
          <w:p w:rsidR="001E4237" w:rsidRPr="00C55C4D" w:rsidRDefault="001E4237" w:rsidP="007E73B8">
            <w:pPr>
              <w:spacing w:before="0" w:line="240" w:lineRule="auto"/>
              <w:jc w:val="both"/>
              <w:rPr>
                <w:rFonts w:asciiTheme="minorHAnsi" w:eastAsiaTheme="minorHAnsi" w:hAnsiTheme="minorHAnsi"/>
                <w:szCs w:val="22"/>
                <w:lang w:eastAsia="en-US"/>
              </w:rPr>
            </w:pPr>
            <w:r w:rsidRPr="00C55C4D">
              <w:rPr>
                <w:rFonts w:asciiTheme="minorHAnsi" w:eastAsiaTheme="minorHAnsi" w:hAnsiTheme="minorHAnsi"/>
                <w:szCs w:val="22"/>
                <w:lang w:eastAsia="en-US"/>
              </w:rPr>
              <w:t>Podmiotami realizującymi projekty TIK mogą być m.in. MŚP, duże przedsiębiorstwa , administracja publiczna, w tym jednostki samorządu terytorialnego, NGO, jednostki naukowe, szkoły, które będą wykorzystywać TIK do usprawnienia swojego działania i do prowadzenia relacji z innymi podmiotami.</w:t>
            </w:r>
          </w:p>
          <w:p w:rsidR="001E4237" w:rsidRPr="00C55C4D" w:rsidRDefault="001E4237" w:rsidP="007E73B8">
            <w:pPr>
              <w:spacing w:before="0" w:line="240" w:lineRule="auto"/>
              <w:jc w:val="both"/>
              <w:rPr>
                <w:rFonts w:asciiTheme="minorHAnsi" w:eastAsiaTheme="minorHAnsi" w:hAnsiTheme="minorHAnsi"/>
                <w:szCs w:val="22"/>
                <w:lang w:eastAsia="en-US"/>
              </w:rPr>
            </w:pPr>
          </w:p>
          <w:p w:rsidR="001E4237" w:rsidRPr="00C55C4D" w:rsidRDefault="001E4237" w:rsidP="00F60155">
            <w:pPr>
              <w:autoSpaceDE w:val="0"/>
              <w:autoSpaceDN w:val="0"/>
              <w:adjustRightInd w:val="0"/>
              <w:spacing w:before="0" w:line="240" w:lineRule="auto"/>
              <w:jc w:val="both"/>
              <w:rPr>
                <w:rFonts w:asciiTheme="minorHAnsi" w:eastAsiaTheme="minorHAnsi" w:hAnsiTheme="minorHAnsi" w:cs="Arial"/>
                <w:szCs w:val="22"/>
                <w:lang w:eastAsia="en-US"/>
              </w:rPr>
            </w:pPr>
            <w:r w:rsidRPr="00C55C4D">
              <w:rPr>
                <w:rFonts w:asciiTheme="minorHAnsi" w:eastAsiaTheme="minorHAnsi" w:hAnsiTheme="minorHAnsi"/>
                <w:szCs w:val="22"/>
                <w:lang w:eastAsia="en-US"/>
              </w:rPr>
              <w:t>W przypadku, gdy beneficjentem pozostaje jeden podmiot , we wskaźniku należy ująć wartość „1”. W przypadku, gdy projekt jest realizowany przez partnerstwo podmiotów, w wartości wskaźnika należy ująć każdy z podmiotów wchodzących w skład partnerstwa, który wdrożył w swojej działalności narzędzia TIK.</w:t>
            </w:r>
          </w:p>
        </w:tc>
        <w:tc>
          <w:tcPr>
            <w:tcW w:w="973" w:type="pct"/>
          </w:tcPr>
          <w:p w:rsidR="001E4237" w:rsidRPr="00C55C4D" w:rsidRDefault="001E4237" w:rsidP="003F1889">
            <w:pPr>
              <w:autoSpaceDE w:val="0"/>
              <w:autoSpaceDN w:val="0"/>
              <w:adjustRightInd w:val="0"/>
              <w:spacing w:before="0" w:line="240" w:lineRule="auto"/>
              <w:jc w:val="center"/>
              <w:rPr>
                <w:rFonts w:asciiTheme="minorHAnsi" w:eastAsiaTheme="minorHAnsi" w:hAnsiTheme="minorHAnsi" w:cs="Arial"/>
                <w:szCs w:val="22"/>
                <w:lang w:eastAsia="en-US"/>
              </w:rPr>
            </w:pPr>
            <w:r w:rsidRPr="00C55C4D">
              <w:rPr>
                <w:rFonts w:asciiTheme="minorHAnsi" w:eastAsiaTheme="minorHAnsi" w:hAnsiTheme="minorHAnsi" w:cs="Arial"/>
                <w:szCs w:val="22"/>
                <w:lang w:eastAsia="en-US"/>
              </w:rPr>
              <w:lastRenderedPageBreak/>
              <w:t>horyzontalny</w:t>
            </w:r>
          </w:p>
        </w:tc>
      </w:tr>
    </w:tbl>
    <w:p w:rsidR="00DF6D97" w:rsidRPr="00C55C4D" w:rsidRDefault="00DF6D97" w:rsidP="007650AC">
      <w:pPr>
        <w:autoSpaceDE w:val="0"/>
        <w:autoSpaceDN w:val="0"/>
        <w:adjustRightInd w:val="0"/>
        <w:spacing w:before="0" w:line="240" w:lineRule="auto"/>
        <w:jc w:val="both"/>
        <w:rPr>
          <w:rFonts w:asciiTheme="minorHAnsi" w:hAnsiTheme="minorHAnsi"/>
        </w:rPr>
      </w:pPr>
    </w:p>
    <w:p w:rsidR="00DF6D97" w:rsidRPr="00C55C4D" w:rsidRDefault="00DF6D97" w:rsidP="004F6746">
      <w:pPr>
        <w:spacing w:before="0" w:after="200" w:line="276" w:lineRule="auto"/>
        <w:rPr>
          <w:rFonts w:asciiTheme="minorHAnsi" w:hAnsiTheme="minorHAnsi" w:cs="Arial"/>
          <w:szCs w:val="22"/>
        </w:rPr>
      </w:pPr>
      <w:r w:rsidRPr="00C55C4D">
        <w:rPr>
          <w:rFonts w:asciiTheme="minorHAnsi" w:hAnsiTheme="minorHAnsi"/>
          <w:b/>
          <w:szCs w:val="22"/>
        </w:rPr>
        <w:t>Wskaźniki rezultatu bezpośredniego</w:t>
      </w:r>
      <w:r w:rsidRPr="00C55C4D">
        <w:rPr>
          <w:rFonts w:asciiTheme="minorHAnsi" w:hAnsiTheme="minorHAnsi"/>
          <w:szCs w:val="22"/>
        </w:rPr>
        <w:t xml:space="preserve"> są to w</w:t>
      </w:r>
      <w:r w:rsidRPr="00C55C4D">
        <w:rPr>
          <w:rFonts w:asciiTheme="minorHAnsi" w:hAnsiTheme="minorHAnsi" w:cs="Arial"/>
          <w:szCs w:val="22"/>
        </w:rPr>
        <w:t>skaźniki odnoszące się do bezpośrednich efektów projektu, stanowią wynik realizacji projektu, ale mogą mieć na niego wpływ także inne zewnętrzne czynniki; niepowiązane bezpośrednio z wydatkami ponoszonymi w projekcie. Dostarczają informacji o zmianach jakie nastąpiły w wyniku realizacji projektu, w porównaniu z wielkością wyjściową (bazową). Są logicznie powiązane ze wskaźnikami produktu.  Muszą być adekwatne do celu projektu.</w:t>
      </w:r>
    </w:p>
    <w:p w:rsidR="00DF6D97" w:rsidRPr="00C55C4D" w:rsidRDefault="00DF6D97" w:rsidP="00DF6D97">
      <w:pPr>
        <w:pStyle w:val="Default"/>
        <w:jc w:val="both"/>
        <w:rPr>
          <w:rFonts w:asciiTheme="minorHAnsi" w:hAnsiTheme="minorHAnsi"/>
          <w:sz w:val="22"/>
          <w:szCs w:val="22"/>
        </w:rPr>
      </w:pPr>
    </w:p>
    <w:p w:rsidR="00DF6D97" w:rsidRPr="00C55C4D" w:rsidRDefault="00DF6D97" w:rsidP="00DF6D97">
      <w:pPr>
        <w:pStyle w:val="Default"/>
        <w:jc w:val="both"/>
        <w:rPr>
          <w:rFonts w:asciiTheme="minorHAnsi" w:hAnsiTheme="minorHAnsi"/>
          <w:sz w:val="22"/>
          <w:szCs w:val="22"/>
        </w:rPr>
      </w:pPr>
      <w:r w:rsidRPr="00C55C4D">
        <w:rPr>
          <w:rFonts w:asciiTheme="minorHAnsi" w:hAnsiTheme="minorHAnsi"/>
          <w:sz w:val="22"/>
          <w:szCs w:val="22"/>
        </w:rPr>
        <w:t xml:space="preserve">Dla każdego z wybranych wskaźników Wnioskodawca zobowiązany jest do wskazania </w:t>
      </w:r>
      <w:r w:rsidRPr="00C55C4D">
        <w:rPr>
          <w:rFonts w:asciiTheme="minorHAnsi" w:hAnsiTheme="minorHAnsi"/>
          <w:i/>
          <w:sz w:val="22"/>
          <w:szCs w:val="22"/>
        </w:rPr>
        <w:t>„Jednostki miary”</w:t>
      </w:r>
      <w:r w:rsidRPr="00C55C4D">
        <w:rPr>
          <w:rFonts w:asciiTheme="minorHAnsi" w:hAnsiTheme="minorHAnsi"/>
          <w:sz w:val="22"/>
          <w:szCs w:val="22"/>
        </w:rPr>
        <w:t xml:space="preserve">, </w:t>
      </w:r>
      <w:r w:rsidRPr="00C55C4D">
        <w:rPr>
          <w:rFonts w:asciiTheme="minorHAnsi" w:hAnsiTheme="minorHAnsi"/>
          <w:i/>
          <w:sz w:val="22"/>
          <w:szCs w:val="22"/>
        </w:rPr>
        <w:t>„Wartości bazowej”</w:t>
      </w:r>
      <w:r w:rsidRPr="00C55C4D">
        <w:rPr>
          <w:rFonts w:asciiTheme="minorHAnsi" w:hAnsiTheme="minorHAnsi"/>
          <w:sz w:val="22"/>
          <w:szCs w:val="22"/>
        </w:rPr>
        <w:t xml:space="preserve">, </w:t>
      </w:r>
      <w:r w:rsidRPr="00C55C4D">
        <w:rPr>
          <w:rFonts w:asciiTheme="minorHAnsi" w:hAnsiTheme="minorHAnsi"/>
          <w:i/>
          <w:sz w:val="22"/>
          <w:szCs w:val="22"/>
        </w:rPr>
        <w:t>„Wartości docelowej wskaźnika”</w:t>
      </w:r>
      <w:r w:rsidRPr="00C55C4D">
        <w:rPr>
          <w:rFonts w:asciiTheme="minorHAnsi" w:hAnsiTheme="minorHAnsi"/>
          <w:sz w:val="22"/>
          <w:szCs w:val="22"/>
        </w:rPr>
        <w:t xml:space="preserve">, a także </w:t>
      </w:r>
      <w:r w:rsidRPr="00C55C4D">
        <w:rPr>
          <w:rFonts w:asciiTheme="minorHAnsi" w:hAnsiTheme="minorHAnsi"/>
          <w:i/>
          <w:sz w:val="22"/>
          <w:szCs w:val="22"/>
        </w:rPr>
        <w:t>„Źródła informacji o wskaźniku”</w:t>
      </w:r>
      <w:r w:rsidRPr="00C55C4D">
        <w:rPr>
          <w:rFonts w:asciiTheme="minorHAnsi" w:hAnsiTheme="minorHAnsi"/>
          <w:sz w:val="22"/>
          <w:szCs w:val="22"/>
        </w:rPr>
        <w:t xml:space="preserve">. </w:t>
      </w:r>
    </w:p>
    <w:p w:rsidR="00DF6D97" w:rsidRPr="00C55C4D" w:rsidRDefault="00DF6D97" w:rsidP="00DF6D97">
      <w:pPr>
        <w:pStyle w:val="Default"/>
        <w:jc w:val="both"/>
        <w:rPr>
          <w:rFonts w:asciiTheme="minorHAnsi" w:hAnsiTheme="minorHAnsi"/>
          <w:sz w:val="22"/>
          <w:szCs w:val="22"/>
        </w:rPr>
      </w:pPr>
      <w:r w:rsidRPr="00C55C4D">
        <w:rPr>
          <w:rFonts w:asciiTheme="minorHAnsi" w:hAnsiTheme="minorHAnsi"/>
          <w:sz w:val="22"/>
          <w:szCs w:val="22"/>
        </w:rPr>
        <w:t>Wartość docelowa dla wskaźnika rezultatu to wyrażony liczbowo stan danego wskaźnika uzyskany w efekcie realizacji projektu</w:t>
      </w:r>
      <w:r w:rsidR="00F9504B" w:rsidRPr="00C55C4D">
        <w:rPr>
          <w:rFonts w:asciiTheme="minorHAnsi" w:hAnsiTheme="minorHAnsi"/>
          <w:sz w:val="22"/>
          <w:szCs w:val="22"/>
        </w:rPr>
        <w:t>.</w:t>
      </w:r>
      <w:r w:rsidRPr="00C55C4D">
        <w:rPr>
          <w:rFonts w:asciiTheme="minorHAnsi" w:hAnsiTheme="minorHAnsi"/>
          <w:sz w:val="22"/>
          <w:szCs w:val="22"/>
        </w:rPr>
        <w:t xml:space="preserve"> </w:t>
      </w:r>
    </w:p>
    <w:p w:rsidR="00871F22" w:rsidRPr="00C55C4D" w:rsidRDefault="00871F22" w:rsidP="00871F22">
      <w:pPr>
        <w:autoSpaceDE w:val="0"/>
        <w:autoSpaceDN w:val="0"/>
        <w:adjustRightInd w:val="0"/>
        <w:spacing w:before="0" w:line="240" w:lineRule="auto"/>
        <w:jc w:val="both"/>
        <w:rPr>
          <w:rFonts w:asciiTheme="minorHAnsi" w:hAnsiTheme="minorHAnsi"/>
          <w:szCs w:val="22"/>
        </w:rPr>
      </w:pPr>
      <w:r w:rsidRPr="00C55C4D">
        <w:rPr>
          <w:rFonts w:asciiTheme="minorHAnsi" w:hAnsiTheme="minorHAnsi"/>
          <w:szCs w:val="22"/>
        </w:rPr>
        <w:t>Jako źródło informacji o wskaźniku wskazać należy odpowiedni dokument (np.</w:t>
      </w:r>
      <w:r w:rsidR="0039790B">
        <w:rPr>
          <w:rFonts w:asciiTheme="minorHAnsi" w:hAnsiTheme="minorHAnsi"/>
          <w:szCs w:val="22"/>
        </w:rPr>
        <w:t xml:space="preserve"> wykaz zawartych kontraktów) </w:t>
      </w:r>
      <w:r w:rsidRPr="00C55C4D">
        <w:rPr>
          <w:rFonts w:asciiTheme="minorHAnsi" w:hAnsiTheme="minorHAnsi"/>
          <w:szCs w:val="22"/>
        </w:rPr>
        <w:t>.</w:t>
      </w:r>
    </w:p>
    <w:p w:rsidR="008C495E" w:rsidRPr="00C55C4D" w:rsidRDefault="003D3BC5" w:rsidP="007650AC">
      <w:pPr>
        <w:autoSpaceDE w:val="0"/>
        <w:autoSpaceDN w:val="0"/>
        <w:adjustRightInd w:val="0"/>
        <w:spacing w:before="120" w:after="120" w:line="240" w:lineRule="auto"/>
        <w:jc w:val="both"/>
        <w:rPr>
          <w:rFonts w:asciiTheme="minorHAnsi" w:hAnsiTheme="minorHAnsi"/>
          <w:szCs w:val="22"/>
        </w:rPr>
      </w:pPr>
      <w:r w:rsidRPr="00C55C4D">
        <w:rPr>
          <w:rFonts w:asciiTheme="minorHAnsi" w:hAnsiTheme="minorHAnsi"/>
          <w:szCs w:val="22"/>
        </w:rPr>
        <w:t xml:space="preserve">W ramach Działania </w:t>
      </w:r>
      <w:r w:rsidR="00A214C1" w:rsidRPr="00C55C4D">
        <w:rPr>
          <w:rFonts w:asciiTheme="minorHAnsi" w:hAnsiTheme="minorHAnsi"/>
          <w:szCs w:val="22"/>
        </w:rPr>
        <w:t>1.</w:t>
      </w:r>
      <w:r w:rsidR="00C846FF">
        <w:rPr>
          <w:rFonts w:asciiTheme="minorHAnsi" w:hAnsiTheme="minorHAnsi"/>
          <w:szCs w:val="22"/>
        </w:rPr>
        <w:t>4.</w:t>
      </w:r>
      <w:r w:rsidR="00C851B3">
        <w:rPr>
          <w:rFonts w:asciiTheme="minorHAnsi" w:hAnsiTheme="minorHAnsi"/>
          <w:szCs w:val="22"/>
        </w:rPr>
        <w:t xml:space="preserve">B </w:t>
      </w:r>
      <w:r w:rsidR="003B68B0">
        <w:rPr>
          <w:rFonts w:asciiTheme="minorHAnsi" w:hAnsiTheme="minorHAnsi"/>
          <w:szCs w:val="22"/>
        </w:rPr>
        <w:t>c</w:t>
      </w:r>
      <w:r w:rsidR="008F1A47" w:rsidRPr="00C55C4D">
        <w:rPr>
          <w:rFonts w:asciiTheme="minorHAnsi" w:hAnsiTheme="minorHAnsi"/>
          <w:szCs w:val="22"/>
        </w:rPr>
        <w:t xml:space="preserve"> </w:t>
      </w:r>
      <w:r w:rsidRPr="00C55C4D">
        <w:rPr>
          <w:rFonts w:asciiTheme="minorHAnsi" w:hAnsiTheme="minorHAnsi"/>
          <w:szCs w:val="22"/>
        </w:rPr>
        <w:t>określono poniższe wskaźniki</w:t>
      </w:r>
      <w:r w:rsidRPr="00C55C4D">
        <w:rPr>
          <w:rFonts w:asciiTheme="minorHAnsi" w:hAnsiTheme="minorHAnsi"/>
          <w:b/>
          <w:szCs w:val="22"/>
        </w:rPr>
        <w:t xml:space="preserve"> rezultatu bezpośredniego</w:t>
      </w:r>
      <w:r w:rsidRPr="00C55C4D">
        <w:rPr>
          <w:rFonts w:asciiTheme="minorHAnsi" w:hAnsiTheme="minorHAnsi"/>
          <w:szCs w:val="22"/>
        </w:rPr>
        <w:t>:</w:t>
      </w:r>
    </w:p>
    <w:p w:rsidR="00331F09" w:rsidRPr="00C55C4D" w:rsidRDefault="00331F09" w:rsidP="007650AC">
      <w:pPr>
        <w:autoSpaceDE w:val="0"/>
        <w:autoSpaceDN w:val="0"/>
        <w:adjustRightInd w:val="0"/>
        <w:spacing w:before="120" w:after="120" w:line="240" w:lineRule="auto"/>
        <w:jc w:val="both"/>
        <w:rPr>
          <w:rFonts w:asciiTheme="minorHAnsi" w:hAnsiTheme="minorHAnsi"/>
          <w:szCs w:val="22"/>
        </w:rPr>
      </w:pPr>
    </w:p>
    <w:tbl>
      <w:tblPr>
        <w:tblW w:w="5016" w:type="pct"/>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2160"/>
        <w:gridCol w:w="950"/>
        <w:gridCol w:w="4066"/>
        <w:gridCol w:w="1905"/>
      </w:tblGrid>
      <w:tr w:rsidR="00C57B2A" w:rsidRPr="00AE7346" w:rsidTr="00BE17D0">
        <w:trPr>
          <w:trHeight w:val="19"/>
          <w:jc w:val="center"/>
        </w:trPr>
        <w:tc>
          <w:tcPr>
            <w:tcW w:w="1189" w:type="pct"/>
            <w:shd w:val="clear" w:color="auto" w:fill="auto"/>
            <w:vAlign w:val="center"/>
          </w:tcPr>
          <w:p w:rsidR="00C57B2A" w:rsidRPr="00BE17D0" w:rsidRDefault="00C57B2A" w:rsidP="00BE17D0">
            <w:pPr>
              <w:spacing w:after="200" w:line="276" w:lineRule="auto"/>
              <w:jc w:val="center"/>
              <w:rPr>
                <w:rFonts w:asciiTheme="minorHAnsi" w:hAnsiTheme="minorHAnsi"/>
                <w:b/>
              </w:rPr>
            </w:pPr>
            <w:r w:rsidRPr="00BE17D0">
              <w:rPr>
                <w:rFonts w:asciiTheme="minorHAnsi" w:hAnsiTheme="minorHAnsi"/>
                <w:b/>
              </w:rPr>
              <w:t>Nazwa wskaźnika rezultatu bezpośredniego</w:t>
            </w:r>
          </w:p>
        </w:tc>
        <w:tc>
          <w:tcPr>
            <w:tcW w:w="523" w:type="pct"/>
          </w:tcPr>
          <w:p w:rsidR="00C57B2A" w:rsidRPr="00BE17D0" w:rsidRDefault="00C57B2A" w:rsidP="00BE17D0">
            <w:pPr>
              <w:spacing w:after="200" w:line="276" w:lineRule="auto"/>
              <w:jc w:val="center"/>
              <w:rPr>
                <w:rFonts w:asciiTheme="minorHAnsi" w:hAnsiTheme="minorHAnsi"/>
                <w:b/>
                <w:bCs/>
              </w:rPr>
            </w:pPr>
            <w:r w:rsidRPr="00BE17D0">
              <w:rPr>
                <w:rFonts w:asciiTheme="minorHAnsi" w:hAnsiTheme="minorHAnsi"/>
                <w:b/>
                <w:bCs/>
              </w:rPr>
              <w:t>Jednostka miary</w:t>
            </w:r>
          </w:p>
        </w:tc>
        <w:tc>
          <w:tcPr>
            <w:tcW w:w="2239" w:type="pct"/>
            <w:shd w:val="clear" w:color="auto" w:fill="auto"/>
            <w:vAlign w:val="center"/>
          </w:tcPr>
          <w:p w:rsidR="00C57B2A" w:rsidRPr="00BE17D0" w:rsidRDefault="00C57B2A" w:rsidP="00BE17D0">
            <w:pPr>
              <w:spacing w:after="200" w:line="276" w:lineRule="auto"/>
              <w:jc w:val="center"/>
              <w:rPr>
                <w:rFonts w:asciiTheme="minorHAnsi" w:hAnsiTheme="minorHAnsi"/>
                <w:b/>
              </w:rPr>
            </w:pPr>
            <w:r w:rsidRPr="00BE17D0">
              <w:rPr>
                <w:rFonts w:asciiTheme="minorHAnsi" w:hAnsiTheme="minorHAnsi"/>
                <w:b/>
                <w:bCs/>
              </w:rPr>
              <w:t>Definicja wskaźnika</w:t>
            </w:r>
          </w:p>
        </w:tc>
        <w:tc>
          <w:tcPr>
            <w:tcW w:w="1049" w:type="pct"/>
          </w:tcPr>
          <w:p w:rsidR="00C57B2A" w:rsidRPr="00BE17D0" w:rsidRDefault="00C57B2A" w:rsidP="00BE17D0">
            <w:pPr>
              <w:spacing w:after="200" w:line="276" w:lineRule="auto"/>
              <w:jc w:val="center"/>
              <w:rPr>
                <w:rFonts w:asciiTheme="minorHAnsi" w:hAnsiTheme="minorHAnsi"/>
                <w:b/>
                <w:bCs/>
              </w:rPr>
            </w:pPr>
            <w:r w:rsidRPr="00BE17D0">
              <w:rPr>
                <w:rFonts w:asciiTheme="minorHAnsi" w:hAnsiTheme="minorHAnsi"/>
                <w:b/>
                <w:bCs/>
              </w:rPr>
              <w:t>Rodzaj dokumentu, w którym określono wskaźnik</w:t>
            </w:r>
          </w:p>
        </w:tc>
      </w:tr>
      <w:tr w:rsidR="00C57B2A" w:rsidRPr="00AE7346" w:rsidTr="00BE17D0">
        <w:trPr>
          <w:trHeight w:val="2896"/>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C57B2A" w:rsidRPr="003578F3" w:rsidRDefault="00C57B2A" w:rsidP="002A23E5">
            <w:pPr>
              <w:spacing w:after="200" w:line="276" w:lineRule="auto"/>
              <w:rPr>
                <w:rFonts w:asciiTheme="minorHAnsi" w:eastAsia="Calibri" w:hAnsiTheme="minorHAnsi"/>
              </w:rPr>
            </w:pPr>
            <w:r w:rsidRPr="003578F3">
              <w:rPr>
                <w:rFonts w:asciiTheme="minorHAnsi" w:eastAsia="Calibri" w:hAnsiTheme="minorHAnsi"/>
              </w:rPr>
              <w:t>Liczba kontraktów handlowych zagranicznych podpisanych przez przedsiębiorstwa wsparte w zakresie internacjonalizacji</w:t>
            </w:r>
          </w:p>
        </w:tc>
        <w:tc>
          <w:tcPr>
            <w:tcW w:w="52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57B2A" w:rsidRPr="003578F3" w:rsidRDefault="00C57B2A" w:rsidP="002A23E5">
            <w:pPr>
              <w:spacing w:after="200" w:line="276" w:lineRule="auto"/>
              <w:rPr>
                <w:rFonts w:asciiTheme="minorHAnsi" w:hAnsiTheme="minorHAnsi"/>
              </w:rPr>
            </w:pPr>
            <w:r w:rsidRPr="003578F3">
              <w:rPr>
                <w:rFonts w:asciiTheme="minorHAnsi" w:hAnsiTheme="minorHAnsi"/>
              </w:rPr>
              <w:t>szt.</w:t>
            </w:r>
          </w:p>
        </w:tc>
        <w:tc>
          <w:tcPr>
            <w:tcW w:w="223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C57B2A" w:rsidRPr="003578F3" w:rsidRDefault="00C57B2A" w:rsidP="002A23E5">
            <w:pPr>
              <w:spacing w:after="200" w:line="276" w:lineRule="auto"/>
              <w:rPr>
                <w:rFonts w:asciiTheme="minorHAnsi" w:eastAsiaTheme="minorHAnsi" w:hAnsiTheme="minorHAnsi"/>
              </w:rPr>
            </w:pPr>
            <w:r w:rsidRPr="003578F3">
              <w:rPr>
                <w:rFonts w:asciiTheme="minorHAnsi" w:eastAsiaTheme="minorHAnsi" w:hAnsiTheme="minorHAnsi"/>
              </w:rPr>
              <w:t>Liczba kontraktów handlowych podpisanych przez przedsiębiorstwa z partnerami z zagranicy w wyniku udzielonego</w:t>
            </w:r>
          </w:p>
          <w:p w:rsidR="00C57B2A" w:rsidRPr="003578F3" w:rsidRDefault="00C57B2A" w:rsidP="002A23E5">
            <w:pPr>
              <w:spacing w:after="200" w:line="276" w:lineRule="auto"/>
              <w:rPr>
                <w:rFonts w:asciiTheme="minorHAnsi" w:eastAsiaTheme="minorHAnsi" w:hAnsiTheme="minorHAnsi"/>
                <w:highlight w:val="yellow"/>
              </w:rPr>
            </w:pPr>
            <w:r w:rsidRPr="003578F3">
              <w:rPr>
                <w:rFonts w:asciiTheme="minorHAnsi" w:eastAsiaTheme="minorHAnsi" w:hAnsiTheme="minorHAnsi"/>
              </w:rPr>
              <w:t xml:space="preserve">wsparcia w zakresie umiędzynarodowienia działalności lub poprawy dostępu do rynków zagranicznych. </w:t>
            </w: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C57B2A" w:rsidRPr="003578F3" w:rsidRDefault="00C57B2A" w:rsidP="002A23E5">
            <w:pPr>
              <w:spacing w:before="0" w:after="200" w:line="276" w:lineRule="auto"/>
              <w:rPr>
                <w:rFonts w:asciiTheme="minorHAnsi" w:hAnsiTheme="minorHAnsi"/>
              </w:rPr>
            </w:pPr>
            <w:r w:rsidRPr="003578F3">
              <w:rPr>
                <w:rFonts w:asciiTheme="minorHAnsi" w:hAnsiTheme="minorHAnsi"/>
              </w:rPr>
              <w:t>SZOOP RPO WD  2014-2020</w:t>
            </w:r>
          </w:p>
        </w:tc>
      </w:tr>
      <w:tr w:rsidR="00C57B2A" w:rsidRPr="00AE7346" w:rsidTr="00BE17D0">
        <w:trPr>
          <w:trHeight w:val="19"/>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C57B2A" w:rsidRPr="003578F3" w:rsidRDefault="00C57B2A" w:rsidP="002A23E5">
            <w:pPr>
              <w:spacing w:after="200" w:line="276" w:lineRule="auto"/>
              <w:rPr>
                <w:rFonts w:asciiTheme="minorHAnsi" w:eastAsia="Calibri" w:hAnsiTheme="minorHAnsi"/>
              </w:rPr>
            </w:pPr>
            <w:r w:rsidRPr="003578F3">
              <w:rPr>
                <w:rFonts w:asciiTheme="minorHAnsi" w:eastAsia="Calibri" w:hAnsiTheme="minorHAnsi"/>
              </w:rPr>
              <w:t xml:space="preserve">Wzrost zatrudnienia we wspieranych przedsiębiorstwach O/K/M </w:t>
            </w:r>
          </w:p>
        </w:tc>
        <w:tc>
          <w:tcPr>
            <w:tcW w:w="52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57B2A" w:rsidRPr="003578F3" w:rsidRDefault="00C57B2A" w:rsidP="002A23E5">
            <w:pPr>
              <w:spacing w:after="200" w:line="276" w:lineRule="auto"/>
              <w:rPr>
                <w:rFonts w:asciiTheme="minorHAnsi" w:hAnsiTheme="minorHAnsi"/>
              </w:rPr>
            </w:pPr>
            <w:r w:rsidRPr="003578F3">
              <w:rPr>
                <w:rFonts w:asciiTheme="minorHAnsi" w:hAnsiTheme="minorHAnsi"/>
              </w:rPr>
              <w:t>EPC</w:t>
            </w:r>
          </w:p>
        </w:tc>
        <w:tc>
          <w:tcPr>
            <w:tcW w:w="223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C57B2A" w:rsidRPr="003578F3" w:rsidRDefault="00C57B2A" w:rsidP="002A23E5">
            <w:pPr>
              <w:spacing w:after="200" w:line="276" w:lineRule="auto"/>
              <w:rPr>
                <w:rFonts w:asciiTheme="minorHAnsi" w:eastAsiaTheme="minorHAnsi" w:hAnsiTheme="minorHAnsi"/>
                <w:lang w:val="en-US"/>
              </w:rPr>
            </w:pPr>
            <w:r w:rsidRPr="003578F3">
              <w:rPr>
                <w:rFonts w:asciiTheme="minorHAnsi" w:eastAsiaTheme="minorHAnsi" w:hAnsiTheme="minorHAnsi"/>
                <w:lang w:val="en-US"/>
              </w:rPr>
              <w:t xml:space="preserve">Gross new working positions in supported enterprises in full time equivalents (FTE). Essentially a 'before-after' indicator which captures the part of the employment increase that  is direct consequence of project completion (workers employed to implement the project are not counted). The positions needs to be filled (vacant posts are not counted) and increase the total number of jobs in the enterprise. If total employment in the enterprise does not increase, the value is zero – it is regarded as realignment, not increase. Safeguarded etc. jobs are not included. Gross: Not counting the origin of the jobholder as long as it directly contributes to the increase of total jobs in the </w:t>
            </w:r>
            <w:proofErr w:type="spellStart"/>
            <w:r w:rsidRPr="003578F3">
              <w:rPr>
                <w:rFonts w:asciiTheme="minorHAnsi" w:eastAsiaTheme="minorHAnsi" w:hAnsiTheme="minorHAnsi"/>
                <w:lang w:val="en-US"/>
              </w:rPr>
              <w:t>organisation</w:t>
            </w:r>
            <w:proofErr w:type="spellEnd"/>
            <w:r w:rsidRPr="003578F3">
              <w:rPr>
                <w:rFonts w:asciiTheme="minorHAnsi" w:eastAsiaTheme="minorHAnsi" w:hAnsiTheme="minorHAnsi"/>
                <w:lang w:val="en-US"/>
              </w:rPr>
              <w:t xml:space="preserve">. The indicator should be used if the employment increase can plausibly be attributed to the support. Full-time equivalent: Jobs can be full time, </w:t>
            </w:r>
            <w:proofErr w:type="spellStart"/>
            <w:r w:rsidRPr="003578F3">
              <w:rPr>
                <w:rFonts w:asciiTheme="minorHAnsi" w:eastAsiaTheme="minorHAnsi" w:hAnsiTheme="minorHAnsi"/>
                <w:lang w:val="en-US"/>
              </w:rPr>
              <w:t>parttime</w:t>
            </w:r>
            <w:proofErr w:type="spellEnd"/>
            <w:r w:rsidRPr="003578F3">
              <w:rPr>
                <w:rFonts w:asciiTheme="minorHAnsi" w:eastAsiaTheme="minorHAnsi" w:hAnsiTheme="minorHAnsi"/>
                <w:lang w:val="en-US"/>
              </w:rPr>
              <w:t xml:space="preserve"> or seasonal. Seasonal and part time jobs are to be converted to FTE using ILO/statistical/other standards. </w:t>
            </w:r>
          </w:p>
          <w:p w:rsidR="00C57B2A" w:rsidRPr="003578F3" w:rsidRDefault="00C57B2A" w:rsidP="002A23E5">
            <w:pPr>
              <w:spacing w:after="200" w:line="276" w:lineRule="auto"/>
              <w:rPr>
                <w:rFonts w:asciiTheme="minorHAnsi" w:eastAsiaTheme="minorHAnsi" w:hAnsiTheme="minorHAnsi"/>
                <w:lang w:val="en-US"/>
              </w:rPr>
            </w:pPr>
          </w:p>
          <w:p w:rsidR="00C57B2A" w:rsidRPr="003578F3" w:rsidRDefault="00C57B2A" w:rsidP="002A23E5">
            <w:pPr>
              <w:spacing w:after="200" w:line="276" w:lineRule="auto"/>
              <w:rPr>
                <w:rFonts w:asciiTheme="minorHAnsi" w:eastAsiaTheme="minorHAnsi" w:hAnsiTheme="minorHAnsi"/>
              </w:rPr>
            </w:pPr>
            <w:r w:rsidRPr="003578F3">
              <w:rPr>
                <w:rFonts w:asciiTheme="minorHAnsi" w:eastAsiaTheme="minorHAnsi" w:hAnsiTheme="minorHAnsi"/>
              </w:rPr>
              <w:t>Wersja robocza:</w:t>
            </w:r>
          </w:p>
          <w:p w:rsidR="00C57B2A" w:rsidRPr="003578F3" w:rsidRDefault="00C57B2A" w:rsidP="002A23E5">
            <w:pPr>
              <w:spacing w:after="200" w:line="276" w:lineRule="auto"/>
              <w:rPr>
                <w:rFonts w:asciiTheme="minorHAnsi" w:eastAsiaTheme="minorHAnsi" w:hAnsiTheme="minorHAnsi"/>
              </w:rPr>
            </w:pPr>
            <w:r w:rsidRPr="003578F3">
              <w:rPr>
                <w:rFonts w:asciiTheme="minorHAnsi" w:eastAsiaTheme="minorHAnsi" w:hAnsiTheme="minorHAnsi"/>
              </w:rPr>
              <w:t>Nowe miejsca pracy brutto we wspartych  przedsiębiorstwach wyrażone w ekwiwalencie pełnego czasu pracy (EPC). Wskaźnik ukazuje zmianę "przed-po" i obejmuje część wzrostu zatrudnienia w przedsiębiorstwie będącego bezpośrednim skutkiem zakończenia realizacji projektu (nie są wliczani pracownicy zatrudnieni do realizacji projektu). Uwzględnia się obsadzone miejsca pracy (wakaty nie są liczone), które zwiększają łączną liczbę miejsc pracy w przedsiębiorstwie. Brak wzrostu w całkowitym zatrudnieniu w przedsiębiorstwie oznacza, że wartość wskaźnika jest równa zero, co traktuje się jako wyrównanie miejsc pracy, a nie wzrost. Nie wlicza się miejsc pracy, np. utrzymanych dzięki realizacji projektu. Brutto: Nie uwzględniamy miejsca pracy otrzymanego w wyniku zmian wewnątrz przedsiębiorstwa, dopóki nie przyczyni się to do całkowitego wzrostu liczby miejsc pracy w przedsiębiorstwie. Wskaźnik powinien być zastosowany, jeżeli wzrost zatrudnienia może być wiarygodnie przypisany do wsparcia w ramach projektu. Ekwiwalent pełnego czasu pracy: miejsca pracy mogą być pełnoetatowe, na część etatu lub sezonowe, przy czym etaty częściowe podlegają sumowaniu lecz nie są zaokrąglane do pełnych jednostek. Zatrudnienie sezonowe i na część etatu przelicza się na EPC z wykorzystaniem standardów ILO (Międzynarodowa Organizacja Pracy)/ statystycznych/innych.</w:t>
            </w:r>
          </w:p>
          <w:p w:rsidR="00C57B2A" w:rsidRPr="003578F3" w:rsidRDefault="00C57B2A" w:rsidP="002A23E5">
            <w:pPr>
              <w:spacing w:after="200" w:line="276" w:lineRule="auto"/>
              <w:rPr>
                <w:rFonts w:asciiTheme="minorHAnsi" w:eastAsiaTheme="minorHAnsi" w:hAnsiTheme="minorHAnsi"/>
              </w:rPr>
            </w:pPr>
          </w:p>
          <w:p w:rsidR="00C57B2A" w:rsidRPr="003578F3" w:rsidRDefault="00C57B2A" w:rsidP="002A23E5">
            <w:pPr>
              <w:spacing w:after="200" w:line="276" w:lineRule="auto"/>
              <w:rPr>
                <w:rFonts w:asciiTheme="minorHAnsi" w:eastAsiaTheme="minorHAnsi" w:hAnsiTheme="minorHAnsi"/>
              </w:rPr>
            </w:pPr>
            <w:r w:rsidRPr="003578F3">
              <w:rPr>
                <w:rFonts w:asciiTheme="minorHAnsi" w:eastAsiaTheme="minorHAnsi" w:hAnsiTheme="minorHAnsi"/>
              </w:rPr>
              <w:t xml:space="preserve">Wskaźnik liczy etaty utworzone w przedsiębiorstwach w wyniku realizacji </w:t>
            </w:r>
            <w:r w:rsidRPr="003578F3">
              <w:rPr>
                <w:rFonts w:asciiTheme="minorHAnsi" w:eastAsiaTheme="minorHAnsi" w:hAnsiTheme="minorHAnsi"/>
              </w:rPr>
              <w:lastRenderedPageBreak/>
              <w:t>projektu; dotyczy zatrudnionych na podstawie umowy o pracę (nie dotyczy umów cywilnoprawnych).</w:t>
            </w: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C57B2A" w:rsidRPr="003578F3" w:rsidRDefault="00C57B2A" w:rsidP="002A23E5">
            <w:pPr>
              <w:spacing w:before="0" w:after="200" w:line="276" w:lineRule="auto"/>
              <w:rPr>
                <w:rFonts w:asciiTheme="minorHAnsi" w:hAnsiTheme="minorHAnsi"/>
              </w:rPr>
            </w:pPr>
            <w:r w:rsidRPr="003578F3">
              <w:rPr>
                <w:rFonts w:asciiTheme="minorHAnsi" w:hAnsiTheme="minorHAnsi"/>
              </w:rPr>
              <w:lastRenderedPageBreak/>
              <w:t>SZOOP RPO WD  2014-2020</w:t>
            </w:r>
          </w:p>
        </w:tc>
      </w:tr>
      <w:tr w:rsidR="00C57B2A" w:rsidRPr="00AE7346" w:rsidTr="00BE17D0">
        <w:trPr>
          <w:trHeight w:val="19"/>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C57B2A" w:rsidRPr="003578F3" w:rsidRDefault="00C57B2A" w:rsidP="002A23E5">
            <w:pPr>
              <w:spacing w:after="200" w:line="276" w:lineRule="auto"/>
              <w:rPr>
                <w:rFonts w:asciiTheme="minorHAnsi" w:hAnsiTheme="minorHAnsi"/>
              </w:rPr>
            </w:pPr>
            <w:r w:rsidRPr="003578F3">
              <w:rPr>
                <w:rFonts w:asciiTheme="minorHAnsi" w:hAnsiTheme="minorHAnsi"/>
              </w:rPr>
              <w:lastRenderedPageBreak/>
              <w:t>Wzrost zatrudnienia we wspieranych podmiotach (innych niż przedsiębiorstwa)</w:t>
            </w:r>
          </w:p>
          <w:p w:rsidR="00C57B2A" w:rsidRPr="003578F3" w:rsidRDefault="00C57B2A" w:rsidP="002A23E5">
            <w:pPr>
              <w:spacing w:after="200" w:line="276" w:lineRule="auto"/>
              <w:rPr>
                <w:rFonts w:asciiTheme="minorHAnsi" w:hAnsiTheme="minorHAnsi"/>
              </w:rPr>
            </w:pPr>
            <w:r w:rsidRPr="003578F3">
              <w:rPr>
                <w:rFonts w:asciiTheme="minorHAnsi" w:hAnsiTheme="minorHAnsi"/>
              </w:rPr>
              <w:t>O/K/M</w:t>
            </w:r>
          </w:p>
        </w:tc>
        <w:tc>
          <w:tcPr>
            <w:tcW w:w="52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57B2A" w:rsidRPr="003578F3" w:rsidRDefault="00C57B2A" w:rsidP="002A23E5">
            <w:pPr>
              <w:spacing w:after="200" w:line="276" w:lineRule="auto"/>
              <w:rPr>
                <w:rFonts w:asciiTheme="minorHAnsi" w:hAnsiTheme="minorHAnsi"/>
              </w:rPr>
            </w:pPr>
            <w:r w:rsidRPr="003578F3">
              <w:rPr>
                <w:rFonts w:asciiTheme="minorHAnsi" w:hAnsiTheme="minorHAnsi"/>
              </w:rPr>
              <w:t>EPC</w:t>
            </w:r>
          </w:p>
        </w:tc>
        <w:tc>
          <w:tcPr>
            <w:tcW w:w="223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C57B2A" w:rsidRPr="003578F3" w:rsidRDefault="00C57B2A" w:rsidP="002A23E5">
            <w:pPr>
              <w:spacing w:after="200" w:line="276" w:lineRule="auto"/>
              <w:rPr>
                <w:rFonts w:asciiTheme="minorHAnsi" w:hAnsiTheme="minorHAnsi"/>
              </w:rPr>
            </w:pPr>
            <w:r w:rsidRPr="003578F3">
              <w:rPr>
                <w:rFonts w:asciiTheme="minorHAnsi" w:hAnsiTheme="minorHAnsi"/>
              </w:rPr>
              <w:t xml:space="preserve">Definicja jak wyżej w odniesieniu do podmiotów innych niż przedsiębiorstwa </w:t>
            </w:r>
          </w:p>
          <w:p w:rsidR="00C57B2A" w:rsidRPr="003578F3" w:rsidRDefault="00C57B2A" w:rsidP="002A23E5">
            <w:pPr>
              <w:spacing w:after="200" w:line="276" w:lineRule="auto"/>
              <w:rPr>
                <w:rFonts w:asciiTheme="minorHAnsi" w:eastAsiaTheme="minorHAnsi" w:hAnsiTheme="minorHAnsi"/>
              </w:rPr>
            </w:pP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C57B2A" w:rsidRPr="003578F3" w:rsidRDefault="00C57B2A" w:rsidP="002A23E5">
            <w:pPr>
              <w:spacing w:before="0" w:after="200" w:line="276" w:lineRule="auto"/>
              <w:rPr>
                <w:rFonts w:asciiTheme="minorHAnsi" w:hAnsiTheme="minorHAnsi"/>
              </w:rPr>
            </w:pPr>
            <w:r w:rsidRPr="003578F3">
              <w:rPr>
                <w:rFonts w:asciiTheme="minorHAnsi" w:hAnsiTheme="minorHAnsi"/>
              </w:rPr>
              <w:t>horyzontalny</w:t>
            </w:r>
          </w:p>
        </w:tc>
      </w:tr>
      <w:tr w:rsidR="00C57B2A" w:rsidRPr="00AE7346" w:rsidTr="00BE17D0">
        <w:trPr>
          <w:trHeight w:val="19"/>
          <w:jc w:val="center"/>
        </w:trPr>
        <w:tc>
          <w:tcPr>
            <w:tcW w:w="1189" w:type="pct"/>
            <w:tcBorders>
              <w:top w:val="single" w:sz="6" w:space="0" w:color="000000" w:themeColor="text1"/>
              <w:left w:val="single" w:sz="8" w:space="0" w:color="000000" w:themeColor="text1"/>
              <w:bottom w:val="single" w:sz="6" w:space="0" w:color="000000" w:themeColor="text1"/>
              <w:right w:val="single" w:sz="6" w:space="0" w:color="000000" w:themeColor="text1"/>
            </w:tcBorders>
            <w:shd w:val="clear" w:color="auto" w:fill="auto"/>
          </w:tcPr>
          <w:p w:rsidR="00C57B2A" w:rsidRPr="003578F3" w:rsidRDefault="00C57B2A" w:rsidP="002A23E5">
            <w:pPr>
              <w:spacing w:after="200" w:line="276" w:lineRule="auto"/>
              <w:rPr>
                <w:rFonts w:asciiTheme="minorHAnsi" w:hAnsiTheme="minorHAnsi"/>
              </w:rPr>
            </w:pPr>
            <w:r w:rsidRPr="003578F3">
              <w:rPr>
                <w:rFonts w:asciiTheme="minorHAnsi" w:hAnsiTheme="minorHAnsi"/>
              </w:rPr>
              <w:t>Liczba utrzymanych miejsc pracy</w:t>
            </w:r>
          </w:p>
        </w:tc>
        <w:tc>
          <w:tcPr>
            <w:tcW w:w="52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C57B2A" w:rsidRPr="003578F3" w:rsidRDefault="00C57B2A" w:rsidP="002A23E5">
            <w:pPr>
              <w:spacing w:after="200" w:line="276" w:lineRule="auto"/>
              <w:rPr>
                <w:rFonts w:asciiTheme="minorHAnsi" w:hAnsiTheme="minorHAnsi"/>
              </w:rPr>
            </w:pPr>
            <w:r w:rsidRPr="003578F3">
              <w:rPr>
                <w:rFonts w:asciiTheme="minorHAnsi" w:hAnsiTheme="minorHAnsi"/>
              </w:rPr>
              <w:t>EPC</w:t>
            </w:r>
          </w:p>
        </w:tc>
        <w:tc>
          <w:tcPr>
            <w:tcW w:w="223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C57B2A" w:rsidRPr="003578F3" w:rsidRDefault="00C57B2A" w:rsidP="002A23E5">
            <w:pPr>
              <w:spacing w:after="200" w:line="276" w:lineRule="auto"/>
              <w:rPr>
                <w:rFonts w:asciiTheme="minorHAnsi" w:eastAsiaTheme="minorHAnsi" w:hAnsiTheme="minorHAnsi"/>
              </w:rPr>
            </w:pPr>
            <w:r w:rsidRPr="003578F3">
              <w:rPr>
                <w:rFonts w:asciiTheme="minorHAnsi" w:eastAsiaTheme="minorHAnsi" w:hAnsiTheme="minorHAnsi"/>
              </w:rPr>
              <w:t>Miejsca pracy utworzone w wyniku realizacji projektu, lecz nie powodują wzrostu zatrudnienia w organizacji</w:t>
            </w:r>
          </w:p>
        </w:tc>
        <w:tc>
          <w:tcPr>
            <w:tcW w:w="1049" w:type="pct"/>
            <w:tcBorders>
              <w:top w:val="single" w:sz="6" w:space="0" w:color="000000" w:themeColor="text1"/>
              <w:left w:val="single" w:sz="6" w:space="0" w:color="000000" w:themeColor="text1"/>
              <w:bottom w:val="single" w:sz="6" w:space="0" w:color="000000" w:themeColor="text1"/>
              <w:right w:val="single" w:sz="8" w:space="0" w:color="000000" w:themeColor="text1"/>
            </w:tcBorders>
          </w:tcPr>
          <w:p w:rsidR="00C57B2A" w:rsidRPr="003578F3" w:rsidRDefault="00C57B2A" w:rsidP="002A23E5">
            <w:pPr>
              <w:spacing w:before="0" w:after="200" w:line="276" w:lineRule="auto"/>
              <w:rPr>
                <w:rFonts w:asciiTheme="minorHAnsi" w:hAnsiTheme="minorHAnsi"/>
              </w:rPr>
            </w:pPr>
            <w:r w:rsidRPr="003578F3">
              <w:rPr>
                <w:rFonts w:asciiTheme="minorHAnsi" w:hAnsiTheme="minorHAnsi"/>
              </w:rPr>
              <w:t>horyzontalny</w:t>
            </w:r>
          </w:p>
        </w:tc>
      </w:tr>
      <w:tr w:rsidR="00C57B2A" w:rsidRPr="00AE7346" w:rsidTr="00BE17D0">
        <w:trPr>
          <w:trHeight w:val="19"/>
          <w:jc w:val="center"/>
        </w:trPr>
        <w:tc>
          <w:tcPr>
            <w:tcW w:w="1189" w:type="pct"/>
            <w:tcBorders>
              <w:top w:val="single" w:sz="6" w:space="0" w:color="000000" w:themeColor="text1"/>
              <w:left w:val="single" w:sz="8" w:space="0" w:color="000000" w:themeColor="text1"/>
              <w:bottom w:val="single" w:sz="8" w:space="0" w:color="000000" w:themeColor="text1"/>
              <w:right w:val="single" w:sz="6" w:space="0" w:color="000000" w:themeColor="text1"/>
            </w:tcBorders>
            <w:shd w:val="clear" w:color="auto" w:fill="auto"/>
          </w:tcPr>
          <w:p w:rsidR="00C57B2A" w:rsidRPr="003578F3" w:rsidRDefault="00C57B2A" w:rsidP="002A23E5">
            <w:pPr>
              <w:spacing w:after="200" w:line="276" w:lineRule="auto"/>
              <w:rPr>
                <w:rFonts w:asciiTheme="minorHAnsi" w:hAnsiTheme="minorHAnsi"/>
              </w:rPr>
            </w:pPr>
            <w:r w:rsidRPr="003578F3">
              <w:rPr>
                <w:rFonts w:asciiTheme="minorHAnsi" w:hAnsiTheme="minorHAnsi"/>
              </w:rPr>
              <w:t xml:space="preserve">Liczba nowo utworzonych miejsc pracy - pozostałe formy </w:t>
            </w:r>
          </w:p>
        </w:tc>
        <w:tc>
          <w:tcPr>
            <w:tcW w:w="523" w:type="pct"/>
            <w:tcBorders>
              <w:top w:val="single" w:sz="6" w:space="0" w:color="000000" w:themeColor="text1"/>
              <w:left w:val="single" w:sz="6" w:space="0" w:color="000000" w:themeColor="text1"/>
              <w:bottom w:val="single" w:sz="8" w:space="0" w:color="000000" w:themeColor="text1"/>
              <w:right w:val="single" w:sz="6" w:space="0" w:color="000000" w:themeColor="text1"/>
            </w:tcBorders>
          </w:tcPr>
          <w:p w:rsidR="00C57B2A" w:rsidRPr="003578F3" w:rsidRDefault="00C57B2A" w:rsidP="002A23E5">
            <w:pPr>
              <w:spacing w:after="200" w:line="276" w:lineRule="auto"/>
              <w:rPr>
                <w:rFonts w:asciiTheme="minorHAnsi" w:hAnsiTheme="minorHAnsi"/>
              </w:rPr>
            </w:pPr>
            <w:r w:rsidRPr="003578F3">
              <w:rPr>
                <w:rFonts w:asciiTheme="minorHAnsi" w:hAnsiTheme="minorHAnsi"/>
              </w:rPr>
              <w:t>EPC</w:t>
            </w:r>
          </w:p>
        </w:tc>
        <w:tc>
          <w:tcPr>
            <w:tcW w:w="2239" w:type="pct"/>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auto"/>
            <w:vAlign w:val="center"/>
          </w:tcPr>
          <w:p w:rsidR="00C57B2A" w:rsidRPr="003578F3" w:rsidRDefault="00C57B2A" w:rsidP="002A23E5">
            <w:pPr>
              <w:spacing w:after="200" w:line="276" w:lineRule="auto"/>
              <w:rPr>
                <w:rFonts w:asciiTheme="minorHAnsi" w:eastAsiaTheme="minorHAnsi" w:hAnsiTheme="minorHAnsi"/>
              </w:rPr>
            </w:pPr>
            <w:r w:rsidRPr="003578F3">
              <w:rPr>
                <w:rFonts w:asciiTheme="minorHAnsi" w:eastAsiaTheme="minorHAnsi" w:hAnsiTheme="minorHAnsi"/>
                <w:iCs/>
              </w:rPr>
              <w:t>Pozostałe formy</w:t>
            </w:r>
            <w:r w:rsidRPr="003578F3">
              <w:rPr>
                <w:rFonts w:asciiTheme="minorHAnsi" w:eastAsiaTheme="minorHAnsi" w:hAnsiTheme="minorHAnsi"/>
              </w:rPr>
              <w:t xml:space="preserve">, np. umowy cywilnoprawne, miejsca pracy do obsługi projektu, nietrwałe miejsca pracy </w:t>
            </w:r>
          </w:p>
        </w:tc>
        <w:tc>
          <w:tcPr>
            <w:tcW w:w="1049" w:type="pct"/>
            <w:tcBorders>
              <w:top w:val="single" w:sz="6" w:space="0" w:color="000000" w:themeColor="text1"/>
              <w:left w:val="single" w:sz="6" w:space="0" w:color="000000" w:themeColor="text1"/>
              <w:bottom w:val="single" w:sz="8" w:space="0" w:color="000000" w:themeColor="text1"/>
              <w:right w:val="single" w:sz="8" w:space="0" w:color="000000" w:themeColor="text1"/>
            </w:tcBorders>
          </w:tcPr>
          <w:p w:rsidR="00C57B2A" w:rsidRPr="003578F3" w:rsidRDefault="00C57B2A" w:rsidP="002A23E5">
            <w:pPr>
              <w:spacing w:before="0" w:after="200" w:line="276" w:lineRule="auto"/>
              <w:rPr>
                <w:rFonts w:asciiTheme="minorHAnsi" w:hAnsiTheme="minorHAnsi"/>
              </w:rPr>
            </w:pPr>
            <w:r w:rsidRPr="003578F3">
              <w:rPr>
                <w:rFonts w:asciiTheme="minorHAnsi" w:hAnsiTheme="minorHAnsi"/>
              </w:rPr>
              <w:t>horyzontalny</w:t>
            </w:r>
          </w:p>
        </w:tc>
      </w:tr>
    </w:tbl>
    <w:p w:rsidR="00944996" w:rsidRPr="00C55C4D" w:rsidRDefault="00944996" w:rsidP="00944996">
      <w:pPr>
        <w:autoSpaceDE w:val="0"/>
        <w:autoSpaceDN w:val="0"/>
        <w:adjustRightInd w:val="0"/>
        <w:spacing w:before="120" w:after="120" w:line="240" w:lineRule="auto"/>
        <w:jc w:val="both"/>
        <w:rPr>
          <w:rFonts w:asciiTheme="minorHAnsi" w:eastAsiaTheme="minorHAnsi" w:hAnsiTheme="minorHAnsi" w:cs="Arial"/>
          <w:szCs w:val="22"/>
          <w:lang w:eastAsia="en-US"/>
        </w:rPr>
      </w:pPr>
      <w:r w:rsidRPr="00C55C4D">
        <w:rPr>
          <w:rFonts w:asciiTheme="minorHAnsi" w:eastAsiaTheme="minorHAnsi" w:hAnsiTheme="minorHAnsi" w:cs="Arial"/>
          <w:szCs w:val="22"/>
          <w:lang w:eastAsia="en-US"/>
        </w:rPr>
        <w:t xml:space="preserve">W ramach wniosku o dofinansowanie Wnioskodawca ma obowiązek uwzględnić </w:t>
      </w:r>
      <w:r w:rsidRPr="00C55C4D">
        <w:rPr>
          <w:rFonts w:asciiTheme="minorHAnsi" w:eastAsiaTheme="minorHAnsi" w:hAnsiTheme="minorHAnsi" w:cs="Arial"/>
          <w:b/>
          <w:szCs w:val="22"/>
          <w:lang w:eastAsia="en-US"/>
        </w:rPr>
        <w:t>wszystkie adekwatne</w:t>
      </w:r>
      <w:r w:rsidRPr="00C55C4D">
        <w:rPr>
          <w:rFonts w:asciiTheme="minorHAnsi" w:eastAsiaTheme="minorHAnsi" w:hAnsiTheme="minorHAnsi" w:cs="Arial"/>
          <w:szCs w:val="22"/>
          <w:lang w:eastAsia="en-US"/>
        </w:rPr>
        <w:t xml:space="preserve"> wskaźniki produktu oraz rezultatu bezpośredniego z listy przedstawionej  w powyższych tabelach, odpowiadające celowi projektu. </w:t>
      </w:r>
      <w:r w:rsidRPr="00C55C4D">
        <w:rPr>
          <w:rFonts w:asciiTheme="minorHAnsi" w:hAnsiTheme="minorHAnsi"/>
          <w:szCs w:val="22"/>
        </w:rPr>
        <w:t>Dodatkowo w ramach wniosku o dofinansowanie Wnioskodawca może określić inne, dodatkowe wskaźniki specyficzne dla danego projektu, o ile będzie to niezbędne dla prawidłowej realizacji projektu (tzw. wskaźniki projektowe).</w:t>
      </w:r>
    </w:p>
    <w:p w:rsidR="00944996" w:rsidRPr="00C55C4D" w:rsidRDefault="00944996" w:rsidP="00944996">
      <w:pPr>
        <w:pStyle w:val="Default"/>
        <w:jc w:val="both"/>
        <w:rPr>
          <w:rFonts w:asciiTheme="minorHAnsi" w:eastAsiaTheme="minorHAnsi" w:hAnsiTheme="minorHAnsi" w:cstheme="minorBidi"/>
          <w:sz w:val="22"/>
          <w:szCs w:val="22"/>
          <w:lang w:eastAsia="en-US"/>
        </w:rPr>
      </w:pPr>
      <w:r w:rsidRPr="00C55C4D">
        <w:rPr>
          <w:rFonts w:asciiTheme="minorHAnsi" w:eastAsiaTheme="minorHAnsi" w:hAnsiTheme="minorHAnsi" w:cstheme="minorBidi"/>
          <w:sz w:val="22"/>
          <w:szCs w:val="22"/>
          <w:lang w:eastAsia="en-US"/>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pomiaru danego wskaźnika. </w:t>
      </w:r>
    </w:p>
    <w:p w:rsidR="00944996" w:rsidRPr="00C55C4D" w:rsidRDefault="00944996" w:rsidP="00944996">
      <w:pPr>
        <w:spacing w:line="240" w:lineRule="auto"/>
        <w:jc w:val="both"/>
        <w:rPr>
          <w:rFonts w:asciiTheme="minorHAnsi" w:hAnsiTheme="minorHAnsi" w:cs="Arial"/>
          <w:b/>
          <w:szCs w:val="22"/>
          <w:u w:val="single"/>
        </w:rPr>
      </w:pPr>
      <w:r w:rsidRPr="00C55C4D">
        <w:rPr>
          <w:rFonts w:asciiTheme="minorHAnsi" w:hAnsiTheme="minorHAnsi" w:cs="Arial"/>
          <w:b/>
          <w:szCs w:val="22"/>
          <w:u w:val="single"/>
        </w:rPr>
        <w:t>Wartość bazowa (tzn. wartość w momencie rozpoczęcia realizacji projektu) w przypadku każdego wskaźnika powinna być wykazana na poziomie „0”.</w:t>
      </w:r>
    </w:p>
    <w:p w:rsidR="00944996" w:rsidRPr="00C55C4D" w:rsidRDefault="00944996" w:rsidP="00944996">
      <w:pPr>
        <w:spacing w:line="240" w:lineRule="auto"/>
        <w:jc w:val="both"/>
        <w:rPr>
          <w:rFonts w:asciiTheme="minorHAnsi" w:hAnsiTheme="minorHAnsi" w:cs="Arial"/>
          <w:b/>
          <w:szCs w:val="22"/>
          <w:u w:val="single"/>
        </w:rPr>
      </w:pPr>
      <w:r w:rsidRPr="00C55C4D">
        <w:rPr>
          <w:rFonts w:asciiTheme="minorHAnsi" w:hAnsiTheme="minorHAnsi" w:cs="Arial"/>
          <w:b/>
          <w:szCs w:val="22"/>
          <w:u w:val="single"/>
        </w:rPr>
        <w:t xml:space="preserve">O ile w umowie o dofinansowanie projektu nie wskazano inaczej, efekt wsparcia na poziomie projektu występuje: </w:t>
      </w:r>
    </w:p>
    <w:p w:rsidR="00944996" w:rsidRPr="00C55C4D" w:rsidRDefault="00944996" w:rsidP="00944996">
      <w:pPr>
        <w:spacing w:line="240" w:lineRule="auto"/>
        <w:jc w:val="both"/>
        <w:rPr>
          <w:rFonts w:asciiTheme="minorHAnsi" w:hAnsiTheme="minorHAnsi" w:cs="Arial"/>
          <w:b/>
          <w:szCs w:val="22"/>
          <w:u w:val="single"/>
        </w:rPr>
      </w:pPr>
      <w:r w:rsidRPr="00C55C4D">
        <w:rPr>
          <w:rFonts w:asciiTheme="minorHAnsi" w:hAnsiTheme="minorHAnsi" w:cs="Arial"/>
          <w:b/>
          <w:szCs w:val="22"/>
          <w:u w:val="single"/>
        </w:rPr>
        <w:t xml:space="preserve">a) w przypadku wskaźników produktu – w okresie od podpisania umowy o dofinansowanie, przy czym osiągnięte wartości powinny zostać wykazane najpóźniej we wniosku o płatność końcową, </w:t>
      </w:r>
    </w:p>
    <w:p w:rsidR="00944996" w:rsidRPr="00C55C4D" w:rsidRDefault="00944996" w:rsidP="00944996">
      <w:pPr>
        <w:spacing w:line="240" w:lineRule="auto"/>
        <w:jc w:val="both"/>
        <w:rPr>
          <w:rFonts w:asciiTheme="minorHAnsi" w:hAnsiTheme="minorHAnsi" w:cs="Arial"/>
          <w:b/>
          <w:szCs w:val="22"/>
          <w:u w:val="single"/>
        </w:rPr>
      </w:pPr>
      <w:r w:rsidRPr="00C55C4D">
        <w:rPr>
          <w:rFonts w:asciiTheme="minorHAnsi" w:hAnsiTheme="minorHAnsi" w:cs="Arial"/>
          <w:b/>
          <w:szCs w:val="22"/>
          <w:u w:val="single"/>
        </w:rPr>
        <w:t xml:space="preserve">b) w przypadku wskaźników rezultatu określonych na poziomie projektu: </w:t>
      </w:r>
    </w:p>
    <w:p w:rsidR="00944996" w:rsidRPr="00C55C4D" w:rsidRDefault="00944996" w:rsidP="00944996">
      <w:pPr>
        <w:pStyle w:val="Akapitzlist"/>
        <w:numPr>
          <w:ilvl w:val="0"/>
          <w:numId w:val="6"/>
        </w:numPr>
        <w:spacing w:before="0" w:after="200" w:line="240" w:lineRule="auto"/>
        <w:ind w:left="1080"/>
        <w:contextualSpacing/>
        <w:jc w:val="both"/>
        <w:rPr>
          <w:rFonts w:asciiTheme="minorHAnsi" w:hAnsiTheme="minorHAnsi" w:cs="Arial"/>
          <w:b/>
          <w:szCs w:val="22"/>
          <w:u w:val="single"/>
        </w:rPr>
      </w:pPr>
      <w:r w:rsidRPr="00C55C4D">
        <w:rPr>
          <w:rFonts w:asciiTheme="minorHAnsi" w:hAnsiTheme="minorHAnsi" w:cs="Arial"/>
          <w:b/>
          <w:szCs w:val="22"/>
          <w:u w:val="single"/>
        </w:rPr>
        <w:t>co do zasady – w okresie 12 miesięcy od zakończenia okresu realizacji projektu określonego w umowie o dofinansowaniu projektu lub, o ile wynika to ze specyfiki projektu, od uruchomienia przedsięwzięcia, przy czym osiągnięte wartości wykazywane są w korekcie do wniosku o płatność końcową.</w:t>
      </w:r>
    </w:p>
    <w:p w:rsidR="00944996" w:rsidRPr="00C55C4D" w:rsidRDefault="00944996" w:rsidP="00944996">
      <w:pPr>
        <w:spacing w:line="240" w:lineRule="auto"/>
        <w:rPr>
          <w:szCs w:val="22"/>
        </w:rPr>
      </w:pPr>
    </w:p>
    <w:p w:rsidR="0032765F" w:rsidRPr="00C55C4D" w:rsidRDefault="0032765F" w:rsidP="007650AC">
      <w:pPr>
        <w:spacing w:line="240" w:lineRule="auto"/>
        <w:rPr>
          <w:szCs w:val="22"/>
        </w:rPr>
      </w:pPr>
    </w:p>
    <w:sectPr w:rsidR="0032765F" w:rsidRPr="00C55C4D" w:rsidSect="0085266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843" w:left="1417" w:header="708" w:footer="3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6BF" w:rsidRDefault="004166BF" w:rsidP="008C495E">
      <w:pPr>
        <w:spacing w:before="0" w:line="240" w:lineRule="auto"/>
      </w:pPr>
      <w:r>
        <w:separator/>
      </w:r>
    </w:p>
  </w:endnote>
  <w:endnote w:type="continuationSeparator" w:id="0">
    <w:p w:rsidR="004166BF" w:rsidRDefault="004166BF" w:rsidP="008C495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NewRoman,Bold">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Narrow">
    <w:altName w:val="Arial"/>
    <w:charset w:val="00"/>
    <w:family w:val="swiss"/>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91D" w:rsidRDefault="00DE291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rPr>
      <w:id w:val="9763378"/>
      <w:docPartObj>
        <w:docPartGallery w:val="Page Numbers (Bottom of Page)"/>
        <w:docPartUnique/>
      </w:docPartObj>
    </w:sdtPr>
    <w:sdtEndPr/>
    <w:sdtContent>
      <w:sdt>
        <w:sdtPr>
          <w:rPr>
            <w:rFonts w:asciiTheme="minorHAnsi" w:hAnsiTheme="minorHAnsi"/>
            <w:sz w:val="20"/>
          </w:rPr>
          <w:id w:val="9763379"/>
          <w:docPartObj>
            <w:docPartGallery w:val="Page Numbers (Top of Page)"/>
            <w:docPartUnique/>
          </w:docPartObj>
        </w:sdtPr>
        <w:sdtEndPr/>
        <w:sdtContent>
          <w:p w:rsidR="00E86D4D" w:rsidRPr="00D721EE" w:rsidRDefault="00E86D4D">
            <w:pPr>
              <w:pStyle w:val="Stopka"/>
              <w:jc w:val="center"/>
              <w:rPr>
                <w:rFonts w:asciiTheme="minorHAnsi" w:hAnsiTheme="minorHAnsi"/>
                <w:sz w:val="20"/>
              </w:rPr>
            </w:pPr>
            <w:r w:rsidRPr="00D721EE">
              <w:rPr>
                <w:rFonts w:asciiTheme="minorHAnsi" w:hAnsiTheme="minorHAnsi"/>
                <w:sz w:val="20"/>
              </w:rPr>
              <w:t xml:space="preserve">Strona </w:t>
            </w:r>
            <w:r w:rsidRPr="00D721EE">
              <w:rPr>
                <w:rFonts w:asciiTheme="minorHAnsi" w:hAnsiTheme="minorHAnsi"/>
                <w:b/>
                <w:bCs/>
                <w:sz w:val="20"/>
              </w:rPr>
              <w:fldChar w:fldCharType="begin"/>
            </w:r>
            <w:r w:rsidRPr="00D721EE">
              <w:rPr>
                <w:rFonts w:asciiTheme="minorHAnsi" w:hAnsiTheme="minorHAnsi"/>
                <w:b/>
                <w:bCs/>
                <w:sz w:val="20"/>
              </w:rPr>
              <w:instrText>PAGE</w:instrText>
            </w:r>
            <w:r w:rsidRPr="00D721EE">
              <w:rPr>
                <w:rFonts w:asciiTheme="minorHAnsi" w:hAnsiTheme="minorHAnsi"/>
                <w:b/>
                <w:bCs/>
                <w:sz w:val="20"/>
              </w:rPr>
              <w:fldChar w:fldCharType="separate"/>
            </w:r>
            <w:r w:rsidR="00DE291D">
              <w:rPr>
                <w:rFonts w:asciiTheme="minorHAnsi" w:hAnsiTheme="minorHAnsi"/>
                <w:b/>
                <w:bCs/>
                <w:noProof/>
                <w:sz w:val="20"/>
              </w:rPr>
              <w:t>1</w:t>
            </w:r>
            <w:r w:rsidRPr="00D721EE">
              <w:rPr>
                <w:rFonts w:asciiTheme="minorHAnsi" w:hAnsiTheme="minorHAnsi"/>
                <w:b/>
                <w:bCs/>
                <w:sz w:val="20"/>
              </w:rPr>
              <w:fldChar w:fldCharType="end"/>
            </w:r>
            <w:r w:rsidRPr="00D721EE">
              <w:rPr>
                <w:rFonts w:asciiTheme="minorHAnsi" w:hAnsiTheme="minorHAnsi"/>
                <w:sz w:val="20"/>
              </w:rPr>
              <w:t xml:space="preserve"> z </w:t>
            </w:r>
            <w:r w:rsidRPr="00D721EE">
              <w:rPr>
                <w:rFonts w:asciiTheme="minorHAnsi" w:hAnsiTheme="minorHAnsi"/>
                <w:b/>
                <w:bCs/>
                <w:sz w:val="20"/>
              </w:rPr>
              <w:fldChar w:fldCharType="begin"/>
            </w:r>
            <w:r w:rsidRPr="00D721EE">
              <w:rPr>
                <w:rFonts w:asciiTheme="minorHAnsi" w:hAnsiTheme="minorHAnsi"/>
                <w:b/>
                <w:bCs/>
                <w:sz w:val="20"/>
              </w:rPr>
              <w:instrText>NUMPAGES</w:instrText>
            </w:r>
            <w:r w:rsidRPr="00D721EE">
              <w:rPr>
                <w:rFonts w:asciiTheme="minorHAnsi" w:hAnsiTheme="minorHAnsi"/>
                <w:b/>
                <w:bCs/>
                <w:sz w:val="20"/>
              </w:rPr>
              <w:fldChar w:fldCharType="separate"/>
            </w:r>
            <w:r w:rsidR="00DE291D">
              <w:rPr>
                <w:rFonts w:asciiTheme="minorHAnsi" w:hAnsiTheme="minorHAnsi"/>
                <w:b/>
                <w:bCs/>
                <w:noProof/>
                <w:sz w:val="20"/>
              </w:rPr>
              <w:t>10</w:t>
            </w:r>
            <w:r w:rsidRPr="00D721EE">
              <w:rPr>
                <w:rFonts w:asciiTheme="minorHAnsi" w:hAnsiTheme="minorHAnsi"/>
                <w:b/>
                <w:bCs/>
                <w:sz w:val="20"/>
              </w:rPr>
              <w:fldChar w:fldCharType="end"/>
            </w:r>
          </w:p>
        </w:sdtContent>
      </w:sdt>
    </w:sdtContent>
  </w:sdt>
  <w:p w:rsidR="00E86D4D" w:rsidRPr="00D721EE" w:rsidRDefault="00E86D4D">
    <w:pPr>
      <w:pStyle w:val="Stopka"/>
      <w:rPr>
        <w:rFonts w:asciiTheme="minorHAnsi" w:hAnsiTheme="minorHAnsi"/>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91D" w:rsidRDefault="00DE291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6BF" w:rsidRDefault="004166BF" w:rsidP="008C495E">
      <w:pPr>
        <w:spacing w:before="0" w:line="240" w:lineRule="auto"/>
      </w:pPr>
      <w:r>
        <w:separator/>
      </w:r>
    </w:p>
  </w:footnote>
  <w:footnote w:type="continuationSeparator" w:id="0">
    <w:p w:rsidR="004166BF" w:rsidRDefault="004166BF" w:rsidP="008C495E">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91D" w:rsidRDefault="00DE291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D4D" w:rsidRPr="00C0278F" w:rsidRDefault="00E86D4D" w:rsidP="00151BAD">
    <w:pPr>
      <w:pStyle w:val="Nagwek"/>
      <w:jc w:val="right"/>
      <w:rPr>
        <w:rFonts w:asciiTheme="minorHAnsi" w:hAnsiTheme="minorHAnsi"/>
        <w:sz w:val="20"/>
      </w:rPr>
    </w:pPr>
    <w:r>
      <w:tab/>
    </w:r>
    <w:r w:rsidRPr="00C0278F">
      <w:rPr>
        <w:rFonts w:asciiTheme="minorHAnsi" w:hAnsiTheme="minorHAnsi"/>
        <w:sz w:val="20"/>
      </w:rPr>
      <w:t xml:space="preserve">Załącznik  nr </w:t>
    </w:r>
    <w:r>
      <w:rPr>
        <w:rFonts w:asciiTheme="minorHAnsi" w:hAnsiTheme="minorHAnsi"/>
        <w:sz w:val="20"/>
      </w:rPr>
      <w:t>1 do instrukcji wypełniania wniosku o dofinansowanie</w:t>
    </w:r>
  </w:p>
  <w:p w:rsidR="00E86D4D" w:rsidRPr="00A44B11" w:rsidRDefault="00E86D4D" w:rsidP="00A44B11">
    <w:pPr>
      <w:tabs>
        <w:tab w:val="left" w:pos="5190"/>
      </w:tabs>
      <w:jc w:val="right"/>
      <w:rPr>
        <w:color w:val="FF0000"/>
        <w:sz w:val="20"/>
      </w:rPr>
    </w:pPr>
    <w:r w:rsidRPr="00C55C4D">
      <w:rPr>
        <w:rFonts w:ascii="Calibri" w:hAnsi="Calibri" w:cs="Arial"/>
        <w:sz w:val="20"/>
      </w:rPr>
      <w:t xml:space="preserve">                                                                                                                            </w:t>
    </w:r>
    <w:r w:rsidRPr="00C55C4D">
      <w:rPr>
        <w:rFonts w:asciiTheme="minorHAnsi" w:hAnsiTheme="minorHAnsi"/>
        <w:sz w:val="20"/>
      </w:rPr>
      <w:t>Nr naboru</w:t>
    </w:r>
    <w:r w:rsidRPr="00C55C4D">
      <w:rPr>
        <w:rFonts w:ascii="Calibri" w:hAnsi="Calibri" w:cs="Arial"/>
        <w:sz w:val="20"/>
      </w:rPr>
      <w:t xml:space="preserve"> RPDS.</w:t>
    </w:r>
    <w:r w:rsidRPr="003578F3">
      <w:rPr>
        <w:rFonts w:ascii="Calibri" w:hAnsi="Calibri" w:cs="Arial"/>
        <w:sz w:val="20"/>
      </w:rPr>
      <w:t>01.0</w:t>
    </w:r>
    <w:r w:rsidR="003578F3" w:rsidRPr="003578F3">
      <w:rPr>
        <w:rFonts w:ascii="Calibri" w:hAnsi="Calibri" w:cs="Arial"/>
        <w:sz w:val="20"/>
      </w:rPr>
      <w:t>4</w:t>
    </w:r>
    <w:r w:rsidRPr="003578F3">
      <w:rPr>
        <w:rFonts w:ascii="Calibri" w:hAnsi="Calibri" w:cs="Arial"/>
        <w:sz w:val="20"/>
      </w:rPr>
      <w:t>.0</w:t>
    </w:r>
    <w:r w:rsidR="003578F3" w:rsidRPr="003578F3">
      <w:rPr>
        <w:rFonts w:ascii="Calibri" w:hAnsi="Calibri" w:cs="Arial"/>
        <w:sz w:val="20"/>
      </w:rPr>
      <w:t>1</w:t>
    </w:r>
    <w:r w:rsidRPr="003578F3">
      <w:rPr>
        <w:rFonts w:ascii="Calibri" w:hAnsi="Calibri" w:cs="Arial"/>
        <w:sz w:val="20"/>
      </w:rPr>
      <w:t>-IP</w:t>
    </w:r>
    <w:r>
      <w:rPr>
        <w:rFonts w:ascii="Calibri" w:hAnsi="Calibri" w:cs="Arial"/>
        <w:sz w:val="20"/>
      </w:rPr>
      <w:t>.01-02-21</w:t>
    </w:r>
    <w:r w:rsidR="003B68B0">
      <w:rPr>
        <w:rFonts w:ascii="Calibri" w:hAnsi="Calibri" w:cs="Arial"/>
        <w:sz w:val="20"/>
      </w:rPr>
      <w:t>7</w:t>
    </w:r>
    <w:r w:rsidRPr="00C55C4D">
      <w:rPr>
        <w:rFonts w:ascii="Calibri" w:hAnsi="Calibri" w:cs="Arial"/>
        <w:sz w:val="20"/>
      </w:rPr>
      <w:t>/16</w:t>
    </w:r>
    <w:r w:rsidR="00A44B11">
      <w:rPr>
        <w:rFonts w:ascii="Calibri" w:hAnsi="Calibri" w:cs="Arial"/>
        <w:sz w:val="20"/>
      </w:rPr>
      <w:t xml:space="preserve"> </w:t>
    </w:r>
  </w:p>
  <w:p w:rsidR="00E86D4D" w:rsidRDefault="00F96294" w:rsidP="00F96294">
    <w:pPr>
      <w:pStyle w:val="Nagwek"/>
      <w:tabs>
        <w:tab w:val="clear" w:pos="4536"/>
        <w:tab w:val="clear" w:pos="9072"/>
        <w:tab w:val="left" w:pos="6720"/>
      </w:tabs>
      <w:jc w:val="right"/>
    </w:pPr>
    <w:r w:rsidRPr="00C55C4D">
      <w:rPr>
        <w:rFonts w:asciiTheme="minorHAnsi" w:hAnsiTheme="minorHAnsi"/>
        <w:sz w:val="20"/>
      </w:rPr>
      <w:t>Nr naboru</w:t>
    </w:r>
    <w:r w:rsidRPr="00C55C4D">
      <w:rPr>
        <w:rFonts w:ascii="Calibri" w:hAnsi="Calibri" w:cs="Arial"/>
        <w:sz w:val="20"/>
      </w:rPr>
      <w:t xml:space="preserve"> RPDS.</w:t>
    </w:r>
    <w:r w:rsidRPr="003578F3">
      <w:rPr>
        <w:rFonts w:ascii="Calibri" w:hAnsi="Calibri" w:cs="Arial"/>
        <w:sz w:val="20"/>
      </w:rPr>
      <w:t>01.04.0</w:t>
    </w:r>
    <w:r w:rsidR="00DE291D">
      <w:rPr>
        <w:rFonts w:ascii="Calibri" w:hAnsi="Calibri" w:cs="Arial"/>
        <w:sz w:val="20"/>
      </w:rPr>
      <w:t>2</w:t>
    </w:r>
    <w:bookmarkStart w:id="3" w:name="_GoBack"/>
    <w:bookmarkEnd w:id="3"/>
    <w:r w:rsidRPr="003578F3">
      <w:rPr>
        <w:rFonts w:ascii="Calibri" w:hAnsi="Calibri" w:cs="Arial"/>
        <w:sz w:val="20"/>
      </w:rPr>
      <w:t>-IP</w:t>
    </w:r>
    <w:r>
      <w:rPr>
        <w:rFonts w:ascii="Calibri" w:hAnsi="Calibri" w:cs="Arial"/>
        <w:sz w:val="20"/>
      </w:rPr>
      <w:t>.01-02-21</w:t>
    </w:r>
    <w:r w:rsidR="003B68B0">
      <w:rPr>
        <w:rFonts w:ascii="Calibri" w:hAnsi="Calibri" w:cs="Arial"/>
        <w:sz w:val="20"/>
      </w:rPr>
      <w:t>8</w:t>
    </w:r>
    <w:r w:rsidRPr="00C55C4D">
      <w:rPr>
        <w:rFonts w:ascii="Calibri" w:hAnsi="Calibri" w:cs="Arial"/>
        <w:sz w:val="20"/>
      </w:rPr>
      <w:t>/16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291D" w:rsidRDefault="00DE291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E3716"/>
    <w:multiLevelType w:val="hybridMultilevel"/>
    <w:tmpl w:val="125491A2"/>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AB91192"/>
    <w:multiLevelType w:val="multilevel"/>
    <w:tmpl w:val="23781834"/>
    <w:lvl w:ilvl="0">
      <w:start w:val="1"/>
      <w:numFmt w:val="decimal"/>
      <w:lvlText w:val="%1."/>
      <w:lvlJc w:val="left"/>
      <w:pPr>
        <w:ind w:left="360" w:hanging="360"/>
      </w:pPr>
      <w:rPr>
        <w:rFonts w:ascii="Calibri" w:hAnsi="Calibri" w:cs="Times New Roman" w:hint="default"/>
        <w:b/>
        <w:i w:val="0"/>
        <w:sz w:val="24"/>
      </w:rPr>
    </w:lvl>
    <w:lvl w:ilvl="1">
      <w:start w:val="2"/>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ACC7735"/>
    <w:multiLevelType w:val="hybridMultilevel"/>
    <w:tmpl w:val="1B862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9238A8"/>
    <w:multiLevelType w:val="hybridMultilevel"/>
    <w:tmpl w:val="80C0DE48"/>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265419B7"/>
    <w:multiLevelType w:val="hybridMultilevel"/>
    <w:tmpl w:val="35F6A7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DB5CBB"/>
    <w:multiLevelType w:val="hybridMultilevel"/>
    <w:tmpl w:val="6DB89E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31FB1A21"/>
    <w:multiLevelType w:val="hybridMultilevel"/>
    <w:tmpl w:val="78B2AF7E"/>
    <w:lvl w:ilvl="0" w:tplc="0EC8615E">
      <w:start w:val="1"/>
      <w:numFmt w:val="decimal"/>
      <w:lvlText w:val="%1)"/>
      <w:lvlJc w:val="left"/>
      <w:pPr>
        <w:ind w:left="360" w:hanging="360"/>
      </w:pPr>
      <w:rPr>
        <w:rFonts w:ascii="Calibri" w:hAnsi="Calibri" w:cs="Times New Roman" w:hint="default"/>
        <w:b w:val="0"/>
        <w:i w:val="0"/>
        <w:color w:val="00000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616E15EA"/>
    <w:multiLevelType w:val="hybridMultilevel"/>
    <w:tmpl w:val="A740D2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F4E6257"/>
    <w:multiLevelType w:val="hybridMultilevel"/>
    <w:tmpl w:val="3E6ADC1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B61ACD"/>
    <w:multiLevelType w:val="hybridMultilevel"/>
    <w:tmpl w:val="9E3836FE"/>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BA24C06"/>
    <w:multiLevelType w:val="hybridMultilevel"/>
    <w:tmpl w:val="E6C8232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
  </w:num>
  <w:num w:numId="2">
    <w:abstractNumId w:val="8"/>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7"/>
  </w:num>
  <w:num w:numId="8">
    <w:abstractNumId w:val="9"/>
  </w:num>
  <w:num w:numId="9">
    <w:abstractNumId w:val="0"/>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95E"/>
    <w:rsid w:val="00007F32"/>
    <w:rsid w:val="000434B4"/>
    <w:rsid w:val="0004456A"/>
    <w:rsid w:val="0005118E"/>
    <w:rsid w:val="00094C3F"/>
    <w:rsid w:val="00095C84"/>
    <w:rsid w:val="000B6963"/>
    <w:rsid w:val="000C57E0"/>
    <w:rsid w:val="000E1C5E"/>
    <w:rsid w:val="000F203C"/>
    <w:rsid w:val="000F5C98"/>
    <w:rsid w:val="00114550"/>
    <w:rsid w:val="0011515E"/>
    <w:rsid w:val="00133659"/>
    <w:rsid w:val="00141571"/>
    <w:rsid w:val="00151BAD"/>
    <w:rsid w:val="0015486C"/>
    <w:rsid w:val="0017262A"/>
    <w:rsid w:val="00191605"/>
    <w:rsid w:val="001B7345"/>
    <w:rsid w:val="001C4F9E"/>
    <w:rsid w:val="001E4237"/>
    <w:rsid w:val="00253FAA"/>
    <w:rsid w:val="002972E4"/>
    <w:rsid w:val="002A1142"/>
    <w:rsid w:val="002A1BDB"/>
    <w:rsid w:val="002A20B7"/>
    <w:rsid w:val="002B6673"/>
    <w:rsid w:val="002C1258"/>
    <w:rsid w:val="002C1BFC"/>
    <w:rsid w:val="002C4E15"/>
    <w:rsid w:val="002D5507"/>
    <w:rsid w:val="002E6E1E"/>
    <w:rsid w:val="002F6273"/>
    <w:rsid w:val="00314B8A"/>
    <w:rsid w:val="0032765F"/>
    <w:rsid w:val="0033077A"/>
    <w:rsid w:val="00331F09"/>
    <w:rsid w:val="00332CDB"/>
    <w:rsid w:val="00340A6B"/>
    <w:rsid w:val="00356F23"/>
    <w:rsid w:val="003578F3"/>
    <w:rsid w:val="00364299"/>
    <w:rsid w:val="00370466"/>
    <w:rsid w:val="00372A5F"/>
    <w:rsid w:val="0039790B"/>
    <w:rsid w:val="003A317E"/>
    <w:rsid w:val="003B68B0"/>
    <w:rsid w:val="003C55C7"/>
    <w:rsid w:val="003D2C3D"/>
    <w:rsid w:val="003D3BC5"/>
    <w:rsid w:val="003E7930"/>
    <w:rsid w:val="003F1889"/>
    <w:rsid w:val="003F445C"/>
    <w:rsid w:val="0041446A"/>
    <w:rsid w:val="004166BF"/>
    <w:rsid w:val="00421C29"/>
    <w:rsid w:val="00423496"/>
    <w:rsid w:val="00433A72"/>
    <w:rsid w:val="00453293"/>
    <w:rsid w:val="0046263E"/>
    <w:rsid w:val="00471B0C"/>
    <w:rsid w:val="00476947"/>
    <w:rsid w:val="004B303A"/>
    <w:rsid w:val="004B3AF6"/>
    <w:rsid w:val="004F6746"/>
    <w:rsid w:val="005038EA"/>
    <w:rsid w:val="00516B06"/>
    <w:rsid w:val="00522930"/>
    <w:rsid w:val="0052529C"/>
    <w:rsid w:val="00535E8F"/>
    <w:rsid w:val="00536389"/>
    <w:rsid w:val="00544656"/>
    <w:rsid w:val="00555321"/>
    <w:rsid w:val="005657D8"/>
    <w:rsid w:val="005B17CE"/>
    <w:rsid w:val="005E0C60"/>
    <w:rsid w:val="005E16D7"/>
    <w:rsid w:val="005F02A1"/>
    <w:rsid w:val="005F0E5F"/>
    <w:rsid w:val="005F442C"/>
    <w:rsid w:val="0060140B"/>
    <w:rsid w:val="006033E8"/>
    <w:rsid w:val="00620A45"/>
    <w:rsid w:val="00635DB0"/>
    <w:rsid w:val="006A09F0"/>
    <w:rsid w:val="006C29E2"/>
    <w:rsid w:val="006C652C"/>
    <w:rsid w:val="006E2656"/>
    <w:rsid w:val="00701E65"/>
    <w:rsid w:val="00704B1F"/>
    <w:rsid w:val="007127DD"/>
    <w:rsid w:val="0072791E"/>
    <w:rsid w:val="007300ED"/>
    <w:rsid w:val="00741B27"/>
    <w:rsid w:val="007447A2"/>
    <w:rsid w:val="0075310C"/>
    <w:rsid w:val="00762973"/>
    <w:rsid w:val="007650AC"/>
    <w:rsid w:val="007704B3"/>
    <w:rsid w:val="00771632"/>
    <w:rsid w:val="007807DB"/>
    <w:rsid w:val="00787387"/>
    <w:rsid w:val="00795831"/>
    <w:rsid w:val="007D1CF1"/>
    <w:rsid w:val="007D5D47"/>
    <w:rsid w:val="007D7DE7"/>
    <w:rsid w:val="007E025A"/>
    <w:rsid w:val="007E6D53"/>
    <w:rsid w:val="007E73B8"/>
    <w:rsid w:val="007F0EF2"/>
    <w:rsid w:val="00823B2B"/>
    <w:rsid w:val="00832929"/>
    <w:rsid w:val="00852665"/>
    <w:rsid w:val="00855888"/>
    <w:rsid w:val="0086698D"/>
    <w:rsid w:val="00871F22"/>
    <w:rsid w:val="00883644"/>
    <w:rsid w:val="008A09D1"/>
    <w:rsid w:val="008A195C"/>
    <w:rsid w:val="008A5B45"/>
    <w:rsid w:val="008B21E1"/>
    <w:rsid w:val="008B73B1"/>
    <w:rsid w:val="008C1026"/>
    <w:rsid w:val="008C495E"/>
    <w:rsid w:val="008E3F0D"/>
    <w:rsid w:val="008F1A47"/>
    <w:rsid w:val="009024D3"/>
    <w:rsid w:val="00903BE8"/>
    <w:rsid w:val="00911273"/>
    <w:rsid w:val="00924428"/>
    <w:rsid w:val="00944996"/>
    <w:rsid w:val="009456DB"/>
    <w:rsid w:val="00957784"/>
    <w:rsid w:val="009A6CCB"/>
    <w:rsid w:val="009D04DE"/>
    <w:rsid w:val="009D3C56"/>
    <w:rsid w:val="009E65D0"/>
    <w:rsid w:val="00A01D54"/>
    <w:rsid w:val="00A146DC"/>
    <w:rsid w:val="00A214C1"/>
    <w:rsid w:val="00A32D10"/>
    <w:rsid w:val="00A44B11"/>
    <w:rsid w:val="00A665D9"/>
    <w:rsid w:val="00A75FD2"/>
    <w:rsid w:val="00A84F1F"/>
    <w:rsid w:val="00AD2437"/>
    <w:rsid w:val="00B204DD"/>
    <w:rsid w:val="00B2308A"/>
    <w:rsid w:val="00B235B0"/>
    <w:rsid w:val="00B4211B"/>
    <w:rsid w:val="00B65B2E"/>
    <w:rsid w:val="00B712D8"/>
    <w:rsid w:val="00B722E4"/>
    <w:rsid w:val="00B80838"/>
    <w:rsid w:val="00B83A65"/>
    <w:rsid w:val="00B840A9"/>
    <w:rsid w:val="00B87C4A"/>
    <w:rsid w:val="00BC0189"/>
    <w:rsid w:val="00BC03CE"/>
    <w:rsid w:val="00BD2B11"/>
    <w:rsid w:val="00BE17D0"/>
    <w:rsid w:val="00BF3553"/>
    <w:rsid w:val="00C0278F"/>
    <w:rsid w:val="00C02E80"/>
    <w:rsid w:val="00C063C7"/>
    <w:rsid w:val="00C10532"/>
    <w:rsid w:val="00C14D4B"/>
    <w:rsid w:val="00C31711"/>
    <w:rsid w:val="00C377D3"/>
    <w:rsid w:val="00C40265"/>
    <w:rsid w:val="00C40E8D"/>
    <w:rsid w:val="00C55C4D"/>
    <w:rsid w:val="00C57B2A"/>
    <w:rsid w:val="00C621AD"/>
    <w:rsid w:val="00C8149D"/>
    <w:rsid w:val="00C846FF"/>
    <w:rsid w:val="00C8517F"/>
    <w:rsid w:val="00C851B3"/>
    <w:rsid w:val="00C8536E"/>
    <w:rsid w:val="00C90F5E"/>
    <w:rsid w:val="00CB032B"/>
    <w:rsid w:val="00CB2B67"/>
    <w:rsid w:val="00CC7758"/>
    <w:rsid w:val="00CE73BE"/>
    <w:rsid w:val="00CF1BEA"/>
    <w:rsid w:val="00CF69D1"/>
    <w:rsid w:val="00CF79AF"/>
    <w:rsid w:val="00D03CAB"/>
    <w:rsid w:val="00D11CB4"/>
    <w:rsid w:val="00D11E26"/>
    <w:rsid w:val="00D20133"/>
    <w:rsid w:val="00D22DF4"/>
    <w:rsid w:val="00D23755"/>
    <w:rsid w:val="00D34704"/>
    <w:rsid w:val="00D4113B"/>
    <w:rsid w:val="00D5098A"/>
    <w:rsid w:val="00D50C00"/>
    <w:rsid w:val="00D569AA"/>
    <w:rsid w:val="00D67100"/>
    <w:rsid w:val="00D721EE"/>
    <w:rsid w:val="00D93881"/>
    <w:rsid w:val="00DC686F"/>
    <w:rsid w:val="00DE291D"/>
    <w:rsid w:val="00DF2FA3"/>
    <w:rsid w:val="00DF6D97"/>
    <w:rsid w:val="00DF7EE2"/>
    <w:rsid w:val="00E232BB"/>
    <w:rsid w:val="00E27D1D"/>
    <w:rsid w:val="00E32B6F"/>
    <w:rsid w:val="00E33C26"/>
    <w:rsid w:val="00E41403"/>
    <w:rsid w:val="00E428FC"/>
    <w:rsid w:val="00E47419"/>
    <w:rsid w:val="00E50219"/>
    <w:rsid w:val="00E61834"/>
    <w:rsid w:val="00E72468"/>
    <w:rsid w:val="00E86D4D"/>
    <w:rsid w:val="00E90CA0"/>
    <w:rsid w:val="00E93BEA"/>
    <w:rsid w:val="00EA68D3"/>
    <w:rsid w:val="00EC7BE5"/>
    <w:rsid w:val="00ED29D0"/>
    <w:rsid w:val="00EE4C8C"/>
    <w:rsid w:val="00F02218"/>
    <w:rsid w:val="00F11106"/>
    <w:rsid w:val="00F41E11"/>
    <w:rsid w:val="00F449AA"/>
    <w:rsid w:val="00F60155"/>
    <w:rsid w:val="00F61B14"/>
    <w:rsid w:val="00F8106E"/>
    <w:rsid w:val="00F9504B"/>
    <w:rsid w:val="00F96294"/>
    <w:rsid w:val="00FC6B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9529CA48-727A-4025-8A25-65D8332F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495E"/>
    <w:pPr>
      <w:spacing w:before="200" w:after="0" w:line="320" w:lineRule="atLeast"/>
    </w:pPr>
    <w:rPr>
      <w:rFonts w:ascii="Arial" w:eastAsia="Times New Roman" w:hAnsi="Arial" w:cs="Times New Roman"/>
      <w:szCs w:val="20"/>
      <w:lang w:eastAsia="pl-PL"/>
    </w:rPr>
  </w:style>
  <w:style w:type="paragraph" w:styleId="Nagwek1">
    <w:name w:val="heading 1"/>
    <w:basedOn w:val="Normalny"/>
    <w:next w:val="Normalny"/>
    <w:link w:val="Nagwek1Znak"/>
    <w:uiPriority w:val="99"/>
    <w:qFormat/>
    <w:rsid w:val="008C495E"/>
    <w:pPr>
      <w:keepNext/>
      <w:spacing w:before="240" w:after="60"/>
      <w:outlineLvl w:val="0"/>
    </w:pPr>
    <w:rPr>
      <w:rFonts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8C495E"/>
    <w:rPr>
      <w:rFonts w:ascii="Arial" w:eastAsia="Times New Roman" w:hAnsi="Arial" w:cs="Arial"/>
      <w:b/>
      <w:bCs/>
      <w:kern w:val="32"/>
      <w:sz w:val="32"/>
      <w:szCs w:val="32"/>
      <w:lang w:eastAsia="pl-PL"/>
    </w:rPr>
  </w:style>
  <w:style w:type="paragraph" w:styleId="Akapitzlist">
    <w:name w:val="List Paragraph"/>
    <w:basedOn w:val="Normalny"/>
    <w:link w:val="AkapitzlistZnak"/>
    <w:uiPriority w:val="34"/>
    <w:qFormat/>
    <w:rsid w:val="008C495E"/>
    <w:pPr>
      <w:ind w:left="708"/>
    </w:pPr>
  </w:style>
  <w:style w:type="character" w:customStyle="1" w:styleId="AkapitzlistZnak">
    <w:name w:val="Akapit z listą Znak"/>
    <w:link w:val="Akapitzlist"/>
    <w:uiPriority w:val="34"/>
    <w:rsid w:val="008C495E"/>
    <w:rPr>
      <w:rFonts w:ascii="Arial" w:eastAsia="Times New Roman" w:hAnsi="Arial" w:cs="Times New Roman"/>
      <w:szCs w:val="20"/>
      <w:lang w:eastAsia="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Znak,o,fn"/>
    <w:basedOn w:val="Normalny"/>
    <w:link w:val="TekstprzypisudolnegoZnak"/>
    <w:qFormat/>
    <w:rsid w:val="008C495E"/>
    <w:pPr>
      <w:spacing w:before="0" w:line="240" w:lineRule="auto"/>
    </w:pPr>
    <w:rPr>
      <w:rFonts w:ascii="Times New Roman" w:hAnsi="Times New Roman"/>
      <w:sz w:val="20"/>
      <w:szCs w:val="24"/>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Znak Znak,o Znak,fn Znak"/>
    <w:basedOn w:val="Domylnaczcionkaakapitu"/>
    <w:link w:val="Tekstprzypisudolnego"/>
    <w:rsid w:val="008C495E"/>
    <w:rPr>
      <w:rFonts w:ascii="Times New Roman" w:eastAsia="Times New Roman" w:hAnsi="Times New Roman" w:cs="Times New Roman"/>
      <w:sz w:val="20"/>
      <w:szCs w:val="24"/>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C495E"/>
    <w:rPr>
      <w:vertAlign w:val="superscript"/>
    </w:rPr>
  </w:style>
  <w:style w:type="paragraph" w:customStyle="1" w:styleId="Default">
    <w:name w:val="Default"/>
    <w:rsid w:val="008C495E"/>
    <w:pPr>
      <w:autoSpaceDE w:val="0"/>
      <w:autoSpaceDN w:val="0"/>
      <w:adjustRightInd w:val="0"/>
      <w:spacing w:after="0" w:line="240" w:lineRule="auto"/>
    </w:pPr>
    <w:rPr>
      <w:rFonts w:ascii="TimesNewRoman,Bold" w:eastAsia="Times New Roman" w:hAnsi="TimesNewRoman,Bold" w:cs="TimesNewRoman,Bold"/>
      <w:sz w:val="20"/>
      <w:szCs w:val="20"/>
      <w:lang w:eastAsia="pl-PL"/>
    </w:rPr>
  </w:style>
  <w:style w:type="table" w:styleId="Tabela-Siatka">
    <w:name w:val="Table Grid"/>
    <w:basedOn w:val="Standardowy"/>
    <w:uiPriority w:val="59"/>
    <w:rsid w:val="008C49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11273"/>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1273"/>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370466"/>
    <w:rPr>
      <w:sz w:val="16"/>
      <w:szCs w:val="16"/>
    </w:rPr>
  </w:style>
  <w:style w:type="paragraph" w:styleId="Tekstkomentarza">
    <w:name w:val="annotation text"/>
    <w:basedOn w:val="Normalny"/>
    <w:link w:val="TekstkomentarzaZnak"/>
    <w:uiPriority w:val="99"/>
    <w:unhideWhenUsed/>
    <w:rsid w:val="00370466"/>
    <w:pPr>
      <w:spacing w:line="240" w:lineRule="auto"/>
    </w:pPr>
    <w:rPr>
      <w:sz w:val="20"/>
    </w:rPr>
  </w:style>
  <w:style w:type="character" w:customStyle="1" w:styleId="TekstkomentarzaZnak">
    <w:name w:val="Tekst komentarza Znak"/>
    <w:basedOn w:val="Domylnaczcionkaakapitu"/>
    <w:link w:val="Tekstkomentarza"/>
    <w:uiPriority w:val="99"/>
    <w:rsid w:val="00370466"/>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370466"/>
    <w:rPr>
      <w:b/>
      <w:bCs/>
    </w:rPr>
  </w:style>
  <w:style w:type="character" w:customStyle="1" w:styleId="TematkomentarzaZnak">
    <w:name w:val="Temat komentarza Znak"/>
    <w:basedOn w:val="TekstkomentarzaZnak"/>
    <w:link w:val="Tematkomentarza"/>
    <w:uiPriority w:val="99"/>
    <w:semiHidden/>
    <w:rsid w:val="00370466"/>
    <w:rPr>
      <w:rFonts w:ascii="Arial" w:eastAsia="Times New Roman" w:hAnsi="Arial" w:cs="Times New Roman"/>
      <w:b/>
      <w:bCs/>
      <w:sz w:val="20"/>
      <w:szCs w:val="20"/>
      <w:lang w:eastAsia="pl-PL"/>
    </w:rPr>
  </w:style>
  <w:style w:type="paragraph" w:styleId="Nagwek">
    <w:name w:val="header"/>
    <w:aliases w:val="Znak Znak,Znak"/>
    <w:basedOn w:val="Normalny"/>
    <w:link w:val="NagwekZnak"/>
    <w:uiPriority w:val="99"/>
    <w:unhideWhenUsed/>
    <w:rsid w:val="00C0278F"/>
    <w:pPr>
      <w:tabs>
        <w:tab w:val="center" w:pos="4536"/>
        <w:tab w:val="right" w:pos="9072"/>
      </w:tabs>
      <w:spacing w:before="0" w:line="240" w:lineRule="auto"/>
    </w:pPr>
  </w:style>
  <w:style w:type="character" w:customStyle="1" w:styleId="NagwekZnak">
    <w:name w:val="Nagłówek Znak"/>
    <w:aliases w:val="Znak Znak Znak,Znak Znak1"/>
    <w:basedOn w:val="Domylnaczcionkaakapitu"/>
    <w:link w:val="Nagwek"/>
    <w:uiPriority w:val="99"/>
    <w:rsid w:val="00C0278F"/>
    <w:rPr>
      <w:rFonts w:ascii="Arial" w:eastAsia="Times New Roman" w:hAnsi="Arial" w:cs="Times New Roman"/>
      <w:szCs w:val="20"/>
      <w:lang w:eastAsia="pl-PL"/>
    </w:rPr>
  </w:style>
  <w:style w:type="paragraph" w:styleId="Stopka">
    <w:name w:val="footer"/>
    <w:basedOn w:val="Normalny"/>
    <w:link w:val="StopkaZnak"/>
    <w:uiPriority w:val="99"/>
    <w:unhideWhenUsed/>
    <w:rsid w:val="00C0278F"/>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C0278F"/>
    <w:rPr>
      <w:rFonts w:ascii="Arial" w:eastAsia="Times New Roman" w:hAnsi="Arial" w:cs="Times New Roman"/>
      <w:szCs w:val="20"/>
      <w:lang w:eastAsia="pl-PL"/>
    </w:rPr>
  </w:style>
  <w:style w:type="character" w:customStyle="1" w:styleId="tabulatory">
    <w:name w:val="tabulatory"/>
    <w:basedOn w:val="Domylnaczcionkaakapitu"/>
    <w:rsid w:val="00883644"/>
  </w:style>
  <w:style w:type="paragraph" w:styleId="HTML-wstpniesformatowany">
    <w:name w:val="HTML Preformatted"/>
    <w:basedOn w:val="Normalny"/>
    <w:link w:val="HTML-wstpniesformatowanyZnak"/>
    <w:uiPriority w:val="99"/>
    <w:semiHidden/>
    <w:unhideWhenUsed/>
    <w:rsid w:val="003E7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hAnsi="Courier New" w:cs="Courier New"/>
      <w:sz w:val="20"/>
    </w:rPr>
  </w:style>
  <w:style w:type="character" w:customStyle="1" w:styleId="HTML-wstpniesformatowanyZnak">
    <w:name w:val="HTML - wstępnie sformatowany Znak"/>
    <w:basedOn w:val="Domylnaczcionkaakapitu"/>
    <w:link w:val="HTML-wstpniesformatowany"/>
    <w:uiPriority w:val="99"/>
    <w:semiHidden/>
    <w:rsid w:val="003E7930"/>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615934">
      <w:bodyDiv w:val="1"/>
      <w:marLeft w:val="0"/>
      <w:marRight w:val="0"/>
      <w:marTop w:val="0"/>
      <w:marBottom w:val="0"/>
      <w:divBdr>
        <w:top w:val="none" w:sz="0" w:space="0" w:color="auto"/>
        <w:left w:val="none" w:sz="0" w:space="0" w:color="auto"/>
        <w:bottom w:val="none" w:sz="0" w:space="0" w:color="auto"/>
        <w:right w:val="none" w:sz="0" w:space="0" w:color="auto"/>
      </w:divBdr>
      <w:divsChild>
        <w:div w:id="205148041">
          <w:marLeft w:val="0"/>
          <w:marRight w:val="0"/>
          <w:marTop w:val="0"/>
          <w:marBottom w:val="0"/>
          <w:divBdr>
            <w:top w:val="none" w:sz="0" w:space="0" w:color="auto"/>
            <w:left w:val="none" w:sz="0" w:space="0" w:color="auto"/>
            <w:bottom w:val="none" w:sz="0" w:space="0" w:color="auto"/>
            <w:right w:val="none" w:sz="0" w:space="0" w:color="auto"/>
          </w:divBdr>
        </w:div>
        <w:div w:id="254944292">
          <w:marLeft w:val="0"/>
          <w:marRight w:val="0"/>
          <w:marTop w:val="0"/>
          <w:marBottom w:val="0"/>
          <w:divBdr>
            <w:top w:val="none" w:sz="0" w:space="0" w:color="auto"/>
            <w:left w:val="none" w:sz="0" w:space="0" w:color="auto"/>
            <w:bottom w:val="none" w:sz="0" w:space="0" w:color="auto"/>
            <w:right w:val="none" w:sz="0" w:space="0" w:color="auto"/>
          </w:divBdr>
        </w:div>
        <w:div w:id="410272907">
          <w:marLeft w:val="0"/>
          <w:marRight w:val="0"/>
          <w:marTop w:val="0"/>
          <w:marBottom w:val="0"/>
          <w:divBdr>
            <w:top w:val="none" w:sz="0" w:space="0" w:color="auto"/>
            <w:left w:val="none" w:sz="0" w:space="0" w:color="auto"/>
            <w:bottom w:val="none" w:sz="0" w:space="0" w:color="auto"/>
            <w:right w:val="none" w:sz="0" w:space="0" w:color="auto"/>
          </w:divBdr>
        </w:div>
        <w:div w:id="426731078">
          <w:marLeft w:val="0"/>
          <w:marRight w:val="0"/>
          <w:marTop w:val="0"/>
          <w:marBottom w:val="0"/>
          <w:divBdr>
            <w:top w:val="none" w:sz="0" w:space="0" w:color="auto"/>
            <w:left w:val="none" w:sz="0" w:space="0" w:color="auto"/>
            <w:bottom w:val="none" w:sz="0" w:space="0" w:color="auto"/>
            <w:right w:val="none" w:sz="0" w:space="0" w:color="auto"/>
          </w:divBdr>
        </w:div>
        <w:div w:id="436486998">
          <w:marLeft w:val="0"/>
          <w:marRight w:val="0"/>
          <w:marTop w:val="0"/>
          <w:marBottom w:val="0"/>
          <w:divBdr>
            <w:top w:val="none" w:sz="0" w:space="0" w:color="auto"/>
            <w:left w:val="none" w:sz="0" w:space="0" w:color="auto"/>
            <w:bottom w:val="none" w:sz="0" w:space="0" w:color="auto"/>
            <w:right w:val="none" w:sz="0" w:space="0" w:color="auto"/>
          </w:divBdr>
        </w:div>
        <w:div w:id="535583941">
          <w:marLeft w:val="0"/>
          <w:marRight w:val="0"/>
          <w:marTop w:val="0"/>
          <w:marBottom w:val="0"/>
          <w:divBdr>
            <w:top w:val="none" w:sz="0" w:space="0" w:color="auto"/>
            <w:left w:val="none" w:sz="0" w:space="0" w:color="auto"/>
            <w:bottom w:val="none" w:sz="0" w:space="0" w:color="auto"/>
            <w:right w:val="none" w:sz="0" w:space="0" w:color="auto"/>
          </w:divBdr>
        </w:div>
        <w:div w:id="538787890">
          <w:marLeft w:val="0"/>
          <w:marRight w:val="0"/>
          <w:marTop w:val="0"/>
          <w:marBottom w:val="0"/>
          <w:divBdr>
            <w:top w:val="none" w:sz="0" w:space="0" w:color="auto"/>
            <w:left w:val="none" w:sz="0" w:space="0" w:color="auto"/>
            <w:bottom w:val="none" w:sz="0" w:space="0" w:color="auto"/>
            <w:right w:val="none" w:sz="0" w:space="0" w:color="auto"/>
          </w:divBdr>
        </w:div>
        <w:div w:id="604387051">
          <w:marLeft w:val="0"/>
          <w:marRight w:val="0"/>
          <w:marTop w:val="0"/>
          <w:marBottom w:val="0"/>
          <w:divBdr>
            <w:top w:val="none" w:sz="0" w:space="0" w:color="auto"/>
            <w:left w:val="none" w:sz="0" w:space="0" w:color="auto"/>
            <w:bottom w:val="none" w:sz="0" w:space="0" w:color="auto"/>
            <w:right w:val="none" w:sz="0" w:space="0" w:color="auto"/>
          </w:divBdr>
        </w:div>
        <w:div w:id="623923395">
          <w:marLeft w:val="0"/>
          <w:marRight w:val="0"/>
          <w:marTop w:val="0"/>
          <w:marBottom w:val="0"/>
          <w:divBdr>
            <w:top w:val="none" w:sz="0" w:space="0" w:color="auto"/>
            <w:left w:val="none" w:sz="0" w:space="0" w:color="auto"/>
            <w:bottom w:val="none" w:sz="0" w:space="0" w:color="auto"/>
            <w:right w:val="none" w:sz="0" w:space="0" w:color="auto"/>
          </w:divBdr>
        </w:div>
        <w:div w:id="911810918">
          <w:marLeft w:val="0"/>
          <w:marRight w:val="0"/>
          <w:marTop w:val="0"/>
          <w:marBottom w:val="0"/>
          <w:divBdr>
            <w:top w:val="none" w:sz="0" w:space="0" w:color="auto"/>
            <w:left w:val="none" w:sz="0" w:space="0" w:color="auto"/>
            <w:bottom w:val="none" w:sz="0" w:space="0" w:color="auto"/>
            <w:right w:val="none" w:sz="0" w:space="0" w:color="auto"/>
          </w:divBdr>
        </w:div>
        <w:div w:id="1212884421">
          <w:marLeft w:val="0"/>
          <w:marRight w:val="0"/>
          <w:marTop w:val="0"/>
          <w:marBottom w:val="0"/>
          <w:divBdr>
            <w:top w:val="none" w:sz="0" w:space="0" w:color="auto"/>
            <w:left w:val="none" w:sz="0" w:space="0" w:color="auto"/>
            <w:bottom w:val="none" w:sz="0" w:space="0" w:color="auto"/>
            <w:right w:val="none" w:sz="0" w:space="0" w:color="auto"/>
          </w:divBdr>
        </w:div>
        <w:div w:id="1426538952">
          <w:marLeft w:val="0"/>
          <w:marRight w:val="0"/>
          <w:marTop w:val="0"/>
          <w:marBottom w:val="0"/>
          <w:divBdr>
            <w:top w:val="none" w:sz="0" w:space="0" w:color="auto"/>
            <w:left w:val="none" w:sz="0" w:space="0" w:color="auto"/>
            <w:bottom w:val="none" w:sz="0" w:space="0" w:color="auto"/>
            <w:right w:val="none" w:sz="0" w:space="0" w:color="auto"/>
          </w:divBdr>
        </w:div>
        <w:div w:id="1466192876">
          <w:marLeft w:val="0"/>
          <w:marRight w:val="0"/>
          <w:marTop w:val="0"/>
          <w:marBottom w:val="0"/>
          <w:divBdr>
            <w:top w:val="none" w:sz="0" w:space="0" w:color="auto"/>
            <w:left w:val="none" w:sz="0" w:space="0" w:color="auto"/>
            <w:bottom w:val="none" w:sz="0" w:space="0" w:color="auto"/>
            <w:right w:val="none" w:sz="0" w:space="0" w:color="auto"/>
          </w:divBdr>
        </w:div>
        <w:div w:id="1582913102">
          <w:marLeft w:val="0"/>
          <w:marRight w:val="0"/>
          <w:marTop w:val="0"/>
          <w:marBottom w:val="0"/>
          <w:divBdr>
            <w:top w:val="none" w:sz="0" w:space="0" w:color="auto"/>
            <w:left w:val="none" w:sz="0" w:space="0" w:color="auto"/>
            <w:bottom w:val="none" w:sz="0" w:space="0" w:color="auto"/>
            <w:right w:val="none" w:sz="0" w:space="0" w:color="auto"/>
          </w:divBdr>
        </w:div>
        <w:div w:id="1725833036">
          <w:marLeft w:val="0"/>
          <w:marRight w:val="0"/>
          <w:marTop w:val="0"/>
          <w:marBottom w:val="0"/>
          <w:divBdr>
            <w:top w:val="none" w:sz="0" w:space="0" w:color="auto"/>
            <w:left w:val="none" w:sz="0" w:space="0" w:color="auto"/>
            <w:bottom w:val="none" w:sz="0" w:space="0" w:color="auto"/>
            <w:right w:val="none" w:sz="0" w:space="0" w:color="auto"/>
          </w:divBdr>
        </w:div>
        <w:div w:id="1746756766">
          <w:marLeft w:val="0"/>
          <w:marRight w:val="0"/>
          <w:marTop w:val="0"/>
          <w:marBottom w:val="0"/>
          <w:divBdr>
            <w:top w:val="none" w:sz="0" w:space="0" w:color="auto"/>
            <w:left w:val="none" w:sz="0" w:space="0" w:color="auto"/>
            <w:bottom w:val="none" w:sz="0" w:space="0" w:color="auto"/>
            <w:right w:val="none" w:sz="0" w:space="0" w:color="auto"/>
          </w:divBdr>
        </w:div>
        <w:div w:id="2045862006">
          <w:marLeft w:val="0"/>
          <w:marRight w:val="0"/>
          <w:marTop w:val="0"/>
          <w:marBottom w:val="0"/>
          <w:divBdr>
            <w:top w:val="none" w:sz="0" w:space="0" w:color="auto"/>
            <w:left w:val="none" w:sz="0" w:space="0" w:color="auto"/>
            <w:bottom w:val="none" w:sz="0" w:space="0" w:color="auto"/>
            <w:right w:val="none" w:sz="0" w:space="0" w:color="auto"/>
          </w:divBdr>
        </w:div>
      </w:divsChild>
    </w:div>
    <w:div w:id="456802253">
      <w:bodyDiv w:val="1"/>
      <w:marLeft w:val="0"/>
      <w:marRight w:val="0"/>
      <w:marTop w:val="0"/>
      <w:marBottom w:val="0"/>
      <w:divBdr>
        <w:top w:val="none" w:sz="0" w:space="0" w:color="auto"/>
        <w:left w:val="none" w:sz="0" w:space="0" w:color="auto"/>
        <w:bottom w:val="none" w:sz="0" w:space="0" w:color="auto"/>
        <w:right w:val="none" w:sz="0" w:space="0" w:color="auto"/>
      </w:divBdr>
    </w:div>
    <w:div w:id="636885188">
      <w:bodyDiv w:val="1"/>
      <w:marLeft w:val="0"/>
      <w:marRight w:val="0"/>
      <w:marTop w:val="0"/>
      <w:marBottom w:val="0"/>
      <w:divBdr>
        <w:top w:val="none" w:sz="0" w:space="0" w:color="auto"/>
        <w:left w:val="none" w:sz="0" w:space="0" w:color="auto"/>
        <w:bottom w:val="none" w:sz="0" w:space="0" w:color="auto"/>
        <w:right w:val="none" w:sz="0" w:space="0" w:color="auto"/>
      </w:divBdr>
    </w:div>
    <w:div w:id="740105305">
      <w:bodyDiv w:val="1"/>
      <w:marLeft w:val="0"/>
      <w:marRight w:val="0"/>
      <w:marTop w:val="0"/>
      <w:marBottom w:val="0"/>
      <w:divBdr>
        <w:top w:val="none" w:sz="0" w:space="0" w:color="auto"/>
        <w:left w:val="none" w:sz="0" w:space="0" w:color="auto"/>
        <w:bottom w:val="none" w:sz="0" w:space="0" w:color="auto"/>
        <w:right w:val="none" w:sz="0" w:space="0" w:color="auto"/>
      </w:divBdr>
    </w:div>
    <w:div w:id="1013534390">
      <w:bodyDiv w:val="1"/>
      <w:marLeft w:val="0"/>
      <w:marRight w:val="0"/>
      <w:marTop w:val="0"/>
      <w:marBottom w:val="0"/>
      <w:divBdr>
        <w:top w:val="none" w:sz="0" w:space="0" w:color="auto"/>
        <w:left w:val="none" w:sz="0" w:space="0" w:color="auto"/>
        <w:bottom w:val="none" w:sz="0" w:space="0" w:color="auto"/>
        <w:right w:val="none" w:sz="0" w:space="0" w:color="auto"/>
      </w:divBdr>
    </w:div>
    <w:div w:id="1179926064">
      <w:bodyDiv w:val="1"/>
      <w:marLeft w:val="0"/>
      <w:marRight w:val="0"/>
      <w:marTop w:val="0"/>
      <w:marBottom w:val="0"/>
      <w:divBdr>
        <w:top w:val="none" w:sz="0" w:space="0" w:color="auto"/>
        <w:left w:val="none" w:sz="0" w:space="0" w:color="auto"/>
        <w:bottom w:val="none" w:sz="0" w:space="0" w:color="auto"/>
        <w:right w:val="none" w:sz="0" w:space="0" w:color="auto"/>
      </w:divBdr>
      <w:divsChild>
        <w:div w:id="113402654">
          <w:marLeft w:val="0"/>
          <w:marRight w:val="0"/>
          <w:marTop w:val="0"/>
          <w:marBottom w:val="0"/>
          <w:divBdr>
            <w:top w:val="none" w:sz="0" w:space="0" w:color="auto"/>
            <w:left w:val="none" w:sz="0" w:space="0" w:color="auto"/>
            <w:bottom w:val="none" w:sz="0" w:space="0" w:color="auto"/>
            <w:right w:val="none" w:sz="0" w:space="0" w:color="auto"/>
          </w:divBdr>
        </w:div>
        <w:div w:id="131755798">
          <w:marLeft w:val="0"/>
          <w:marRight w:val="0"/>
          <w:marTop w:val="0"/>
          <w:marBottom w:val="0"/>
          <w:divBdr>
            <w:top w:val="none" w:sz="0" w:space="0" w:color="auto"/>
            <w:left w:val="none" w:sz="0" w:space="0" w:color="auto"/>
            <w:bottom w:val="none" w:sz="0" w:space="0" w:color="auto"/>
            <w:right w:val="none" w:sz="0" w:space="0" w:color="auto"/>
          </w:divBdr>
        </w:div>
        <w:div w:id="135490459">
          <w:marLeft w:val="0"/>
          <w:marRight w:val="0"/>
          <w:marTop w:val="0"/>
          <w:marBottom w:val="0"/>
          <w:divBdr>
            <w:top w:val="none" w:sz="0" w:space="0" w:color="auto"/>
            <w:left w:val="none" w:sz="0" w:space="0" w:color="auto"/>
            <w:bottom w:val="none" w:sz="0" w:space="0" w:color="auto"/>
            <w:right w:val="none" w:sz="0" w:space="0" w:color="auto"/>
          </w:divBdr>
        </w:div>
        <w:div w:id="147289187">
          <w:marLeft w:val="0"/>
          <w:marRight w:val="0"/>
          <w:marTop w:val="0"/>
          <w:marBottom w:val="0"/>
          <w:divBdr>
            <w:top w:val="none" w:sz="0" w:space="0" w:color="auto"/>
            <w:left w:val="none" w:sz="0" w:space="0" w:color="auto"/>
            <w:bottom w:val="none" w:sz="0" w:space="0" w:color="auto"/>
            <w:right w:val="none" w:sz="0" w:space="0" w:color="auto"/>
          </w:divBdr>
        </w:div>
        <w:div w:id="269972616">
          <w:marLeft w:val="0"/>
          <w:marRight w:val="0"/>
          <w:marTop w:val="0"/>
          <w:marBottom w:val="0"/>
          <w:divBdr>
            <w:top w:val="none" w:sz="0" w:space="0" w:color="auto"/>
            <w:left w:val="none" w:sz="0" w:space="0" w:color="auto"/>
            <w:bottom w:val="none" w:sz="0" w:space="0" w:color="auto"/>
            <w:right w:val="none" w:sz="0" w:space="0" w:color="auto"/>
          </w:divBdr>
        </w:div>
        <w:div w:id="302125538">
          <w:marLeft w:val="0"/>
          <w:marRight w:val="0"/>
          <w:marTop w:val="0"/>
          <w:marBottom w:val="0"/>
          <w:divBdr>
            <w:top w:val="none" w:sz="0" w:space="0" w:color="auto"/>
            <w:left w:val="none" w:sz="0" w:space="0" w:color="auto"/>
            <w:bottom w:val="none" w:sz="0" w:space="0" w:color="auto"/>
            <w:right w:val="none" w:sz="0" w:space="0" w:color="auto"/>
          </w:divBdr>
        </w:div>
        <w:div w:id="322396815">
          <w:marLeft w:val="0"/>
          <w:marRight w:val="0"/>
          <w:marTop w:val="0"/>
          <w:marBottom w:val="0"/>
          <w:divBdr>
            <w:top w:val="none" w:sz="0" w:space="0" w:color="auto"/>
            <w:left w:val="none" w:sz="0" w:space="0" w:color="auto"/>
            <w:bottom w:val="none" w:sz="0" w:space="0" w:color="auto"/>
            <w:right w:val="none" w:sz="0" w:space="0" w:color="auto"/>
          </w:divBdr>
        </w:div>
        <w:div w:id="379404528">
          <w:marLeft w:val="0"/>
          <w:marRight w:val="0"/>
          <w:marTop w:val="0"/>
          <w:marBottom w:val="0"/>
          <w:divBdr>
            <w:top w:val="none" w:sz="0" w:space="0" w:color="auto"/>
            <w:left w:val="none" w:sz="0" w:space="0" w:color="auto"/>
            <w:bottom w:val="none" w:sz="0" w:space="0" w:color="auto"/>
            <w:right w:val="none" w:sz="0" w:space="0" w:color="auto"/>
          </w:divBdr>
        </w:div>
        <w:div w:id="437718158">
          <w:marLeft w:val="0"/>
          <w:marRight w:val="0"/>
          <w:marTop w:val="0"/>
          <w:marBottom w:val="0"/>
          <w:divBdr>
            <w:top w:val="none" w:sz="0" w:space="0" w:color="auto"/>
            <w:left w:val="none" w:sz="0" w:space="0" w:color="auto"/>
            <w:bottom w:val="none" w:sz="0" w:space="0" w:color="auto"/>
            <w:right w:val="none" w:sz="0" w:space="0" w:color="auto"/>
          </w:divBdr>
        </w:div>
        <w:div w:id="455373899">
          <w:marLeft w:val="0"/>
          <w:marRight w:val="0"/>
          <w:marTop w:val="0"/>
          <w:marBottom w:val="0"/>
          <w:divBdr>
            <w:top w:val="none" w:sz="0" w:space="0" w:color="auto"/>
            <w:left w:val="none" w:sz="0" w:space="0" w:color="auto"/>
            <w:bottom w:val="none" w:sz="0" w:space="0" w:color="auto"/>
            <w:right w:val="none" w:sz="0" w:space="0" w:color="auto"/>
          </w:divBdr>
        </w:div>
        <w:div w:id="772363980">
          <w:marLeft w:val="0"/>
          <w:marRight w:val="0"/>
          <w:marTop w:val="0"/>
          <w:marBottom w:val="0"/>
          <w:divBdr>
            <w:top w:val="none" w:sz="0" w:space="0" w:color="auto"/>
            <w:left w:val="none" w:sz="0" w:space="0" w:color="auto"/>
            <w:bottom w:val="none" w:sz="0" w:space="0" w:color="auto"/>
            <w:right w:val="none" w:sz="0" w:space="0" w:color="auto"/>
          </w:divBdr>
        </w:div>
        <w:div w:id="807211019">
          <w:marLeft w:val="0"/>
          <w:marRight w:val="0"/>
          <w:marTop w:val="0"/>
          <w:marBottom w:val="0"/>
          <w:divBdr>
            <w:top w:val="none" w:sz="0" w:space="0" w:color="auto"/>
            <w:left w:val="none" w:sz="0" w:space="0" w:color="auto"/>
            <w:bottom w:val="none" w:sz="0" w:space="0" w:color="auto"/>
            <w:right w:val="none" w:sz="0" w:space="0" w:color="auto"/>
          </w:divBdr>
        </w:div>
        <w:div w:id="917246364">
          <w:marLeft w:val="0"/>
          <w:marRight w:val="0"/>
          <w:marTop w:val="0"/>
          <w:marBottom w:val="0"/>
          <w:divBdr>
            <w:top w:val="none" w:sz="0" w:space="0" w:color="auto"/>
            <w:left w:val="none" w:sz="0" w:space="0" w:color="auto"/>
            <w:bottom w:val="none" w:sz="0" w:space="0" w:color="auto"/>
            <w:right w:val="none" w:sz="0" w:space="0" w:color="auto"/>
          </w:divBdr>
        </w:div>
        <w:div w:id="918367826">
          <w:marLeft w:val="0"/>
          <w:marRight w:val="0"/>
          <w:marTop w:val="0"/>
          <w:marBottom w:val="0"/>
          <w:divBdr>
            <w:top w:val="none" w:sz="0" w:space="0" w:color="auto"/>
            <w:left w:val="none" w:sz="0" w:space="0" w:color="auto"/>
            <w:bottom w:val="none" w:sz="0" w:space="0" w:color="auto"/>
            <w:right w:val="none" w:sz="0" w:space="0" w:color="auto"/>
          </w:divBdr>
        </w:div>
        <w:div w:id="977882197">
          <w:marLeft w:val="0"/>
          <w:marRight w:val="0"/>
          <w:marTop w:val="0"/>
          <w:marBottom w:val="0"/>
          <w:divBdr>
            <w:top w:val="none" w:sz="0" w:space="0" w:color="auto"/>
            <w:left w:val="none" w:sz="0" w:space="0" w:color="auto"/>
            <w:bottom w:val="none" w:sz="0" w:space="0" w:color="auto"/>
            <w:right w:val="none" w:sz="0" w:space="0" w:color="auto"/>
          </w:divBdr>
        </w:div>
        <w:div w:id="1171529712">
          <w:marLeft w:val="0"/>
          <w:marRight w:val="0"/>
          <w:marTop w:val="0"/>
          <w:marBottom w:val="0"/>
          <w:divBdr>
            <w:top w:val="none" w:sz="0" w:space="0" w:color="auto"/>
            <w:left w:val="none" w:sz="0" w:space="0" w:color="auto"/>
            <w:bottom w:val="none" w:sz="0" w:space="0" w:color="auto"/>
            <w:right w:val="none" w:sz="0" w:space="0" w:color="auto"/>
          </w:divBdr>
        </w:div>
        <w:div w:id="1193226964">
          <w:marLeft w:val="0"/>
          <w:marRight w:val="0"/>
          <w:marTop w:val="0"/>
          <w:marBottom w:val="0"/>
          <w:divBdr>
            <w:top w:val="none" w:sz="0" w:space="0" w:color="auto"/>
            <w:left w:val="none" w:sz="0" w:space="0" w:color="auto"/>
            <w:bottom w:val="none" w:sz="0" w:space="0" w:color="auto"/>
            <w:right w:val="none" w:sz="0" w:space="0" w:color="auto"/>
          </w:divBdr>
        </w:div>
        <w:div w:id="1296987735">
          <w:marLeft w:val="0"/>
          <w:marRight w:val="0"/>
          <w:marTop w:val="0"/>
          <w:marBottom w:val="0"/>
          <w:divBdr>
            <w:top w:val="none" w:sz="0" w:space="0" w:color="auto"/>
            <w:left w:val="none" w:sz="0" w:space="0" w:color="auto"/>
            <w:bottom w:val="none" w:sz="0" w:space="0" w:color="auto"/>
            <w:right w:val="none" w:sz="0" w:space="0" w:color="auto"/>
          </w:divBdr>
        </w:div>
        <w:div w:id="1480995892">
          <w:marLeft w:val="0"/>
          <w:marRight w:val="0"/>
          <w:marTop w:val="0"/>
          <w:marBottom w:val="0"/>
          <w:divBdr>
            <w:top w:val="none" w:sz="0" w:space="0" w:color="auto"/>
            <w:left w:val="none" w:sz="0" w:space="0" w:color="auto"/>
            <w:bottom w:val="none" w:sz="0" w:space="0" w:color="auto"/>
            <w:right w:val="none" w:sz="0" w:space="0" w:color="auto"/>
          </w:divBdr>
        </w:div>
        <w:div w:id="1530995977">
          <w:marLeft w:val="0"/>
          <w:marRight w:val="0"/>
          <w:marTop w:val="0"/>
          <w:marBottom w:val="0"/>
          <w:divBdr>
            <w:top w:val="none" w:sz="0" w:space="0" w:color="auto"/>
            <w:left w:val="none" w:sz="0" w:space="0" w:color="auto"/>
            <w:bottom w:val="none" w:sz="0" w:space="0" w:color="auto"/>
            <w:right w:val="none" w:sz="0" w:space="0" w:color="auto"/>
          </w:divBdr>
        </w:div>
        <w:div w:id="1532063376">
          <w:marLeft w:val="0"/>
          <w:marRight w:val="0"/>
          <w:marTop w:val="0"/>
          <w:marBottom w:val="0"/>
          <w:divBdr>
            <w:top w:val="none" w:sz="0" w:space="0" w:color="auto"/>
            <w:left w:val="none" w:sz="0" w:space="0" w:color="auto"/>
            <w:bottom w:val="none" w:sz="0" w:space="0" w:color="auto"/>
            <w:right w:val="none" w:sz="0" w:space="0" w:color="auto"/>
          </w:divBdr>
        </w:div>
        <w:div w:id="1552955698">
          <w:marLeft w:val="0"/>
          <w:marRight w:val="0"/>
          <w:marTop w:val="0"/>
          <w:marBottom w:val="0"/>
          <w:divBdr>
            <w:top w:val="none" w:sz="0" w:space="0" w:color="auto"/>
            <w:left w:val="none" w:sz="0" w:space="0" w:color="auto"/>
            <w:bottom w:val="none" w:sz="0" w:space="0" w:color="auto"/>
            <w:right w:val="none" w:sz="0" w:space="0" w:color="auto"/>
          </w:divBdr>
        </w:div>
        <w:div w:id="1650478800">
          <w:marLeft w:val="0"/>
          <w:marRight w:val="0"/>
          <w:marTop w:val="0"/>
          <w:marBottom w:val="0"/>
          <w:divBdr>
            <w:top w:val="none" w:sz="0" w:space="0" w:color="auto"/>
            <w:left w:val="none" w:sz="0" w:space="0" w:color="auto"/>
            <w:bottom w:val="none" w:sz="0" w:space="0" w:color="auto"/>
            <w:right w:val="none" w:sz="0" w:space="0" w:color="auto"/>
          </w:divBdr>
        </w:div>
        <w:div w:id="1766994663">
          <w:marLeft w:val="0"/>
          <w:marRight w:val="0"/>
          <w:marTop w:val="0"/>
          <w:marBottom w:val="0"/>
          <w:divBdr>
            <w:top w:val="none" w:sz="0" w:space="0" w:color="auto"/>
            <w:left w:val="none" w:sz="0" w:space="0" w:color="auto"/>
            <w:bottom w:val="none" w:sz="0" w:space="0" w:color="auto"/>
            <w:right w:val="none" w:sz="0" w:space="0" w:color="auto"/>
          </w:divBdr>
        </w:div>
        <w:div w:id="1787504756">
          <w:marLeft w:val="0"/>
          <w:marRight w:val="0"/>
          <w:marTop w:val="0"/>
          <w:marBottom w:val="0"/>
          <w:divBdr>
            <w:top w:val="none" w:sz="0" w:space="0" w:color="auto"/>
            <w:left w:val="none" w:sz="0" w:space="0" w:color="auto"/>
            <w:bottom w:val="none" w:sz="0" w:space="0" w:color="auto"/>
            <w:right w:val="none" w:sz="0" w:space="0" w:color="auto"/>
          </w:divBdr>
        </w:div>
        <w:div w:id="1927882391">
          <w:marLeft w:val="0"/>
          <w:marRight w:val="0"/>
          <w:marTop w:val="0"/>
          <w:marBottom w:val="0"/>
          <w:divBdr>
            <w:top w:val="none" w:sz="0" w:space="0" w:color="auto"/>
            <w:left w:val="none" w:sz="0" w:space="0" w:color="auto"/>
            <w:bottom w:val="none" w:sz="0" w:space="0" w:color="auto"/>
            <w:right w:val="none" w:sz="0" w:space="0" w:color="auto"/>
          </w:divBdr>
        </w:div>
        <w:div w:id="1937398903">
          <w:marLeft w:val="0"/>
          <w:marRight w:val="0"/>
          <w:marTop w:val="0"/>
          <w:marBottom w:val="0"/>
          <w:divBdr>
            <w:top w:val="none" w:sz="0" w:space="0" w:color="auto"/>
            <w:left w:val="none" w:sz="0" w:space="0" w:color="auto"/>
            <w:bottom w:val="none" w:sz="0" w:space="0" w:color="auto"/>
            <w:right w:val="none" w:sz="0" w:space="0" w:color="auto"/>
          </w:divBdr>
        </w:div>
        <w:div w:id="1956057939">
          <w:marLeft w:val="0"/>
          <w:marRight w:val="0"/>
          <w:marTop w:val="0"/>
          <w:marBottom w:val="0"/>
          <w:divBdr>
            <w:top w:val="none" w:sz="0" w:space="0" w:color="auto"/>
            <w:left w:val="none" w:sz="0" w:space="0" w:color="auto"/>
            <w:bottom w:val="none" w:sz="0" w:space="0" w:color="auto"/>
            <w:right w:val="none" w:sz="0" w:space="0" w:color="auto"/>
          </w:divBdr>
        </w:div>
        <w:div w:id="1958638583">
          <w:marLeft w:val="0"/>
          <w:marRight w:val="0"/>
          <w:marTop w:val="0"/>
          <w:marBottom w:val="0"/>
          <w:divBdr>
            <w:top w:val="none" w:sz="0" w:space="0" w:color="auto"/>
            <w:left w:val="none" w:sz="0" w:space="0" w:color="auto"/>
            <w:bottom w:val="none" w:sz="0" w:space="0" w:color="auto"/>
            <w:right w:val="none" w:sz="0" w:space="0" w:color="auto"/>
          </w:divBdr>
        </w:div>
      </w:divsChild>
    </w:div>
    <w:div w:id="1189217872">
      <w:bodyDiv w:val="1"/>
      <w:marLeft w:val="0"/>
      <w:marRight w:val="0"/>
      <w:marTop w:val="0"/>
      <w:marBottom w:val="0"/>
      <w:divBdr>
        <w:top w:val="none" w:sz="0" w:space="0" w:color="auto"/>
        <w:left w:val="none" w:sz="0" w:space="0" w:color="auto"/>
        <w:bottom w:val="none" w:sz="0" w:space="0" w:color="auto"/>
        <w:right w:val="none" w:sz="0" w:space="0" w:color="auto"/>
      </w:divBdr>
      <w:divsChild>
        <w:div w:id="95755960">
          <w:marLeft w:val="0"/>
          <w:marRight w:val="0"/>
          <w:marTop w:val="0"/>
          <w:marBottom w:val="0"/>
          <w:divBdr>
            <w:top w:val="none" w:sz="0" w:space="0" w:color="auto"/>
            <w:left w:val="none" w:sz="0" w:space="0" w:color="auto"/>
            <w:bottom w:val="none" w:sz="0" w:space="0" w:color="auto"/>
            <w:right w:val="none" w:sz="0" w:space="0" w:color="auto"/>
          </w:divBdr>
        </w:div>
        <w:div w:id="296499760">
          <w:marLeft w:val="0"/>
          <w:marRight w:val="0"/>
          <w:marTop w:val="0"/>
          <w:marBottom w:val="0"/>
          <w:divBdr>
            <w:top w:val="none" w:sz="0" w:space="0" w:color="auto"/>
            <w:left w:val="none" w:sz="0" w:space="0" w:color="auto"/>
            <w:bottom w:val="none" w:sz="0" w:space="0" w:color="auto"/>
            <w:right w:val="none" w:sz="0" w:space="0" w:color="auto"/>
          </w:divBdr>
        </w:div>
        <w:div w:id="383991169">
          <w:marLeft w:val="0"/>
          <w:marRight w:val="0"/>
          <w:marTop w:val="0"/>
          <w:marBottom w:val="0"/>
          <w:divBdr>
            <w:top w:val="none" w:sz="0" w:space="0" w:color="auto"/>
            <w:left w:val="none" w:sz="0" w:space="0" w:color="auto"/>
            <w:bottom w:val="none" w:sz="0" w:space="0" w:color="auto"/>
            <w:right w:val="none" w:sz="0" w:space="0" w:color="auto"/>
          </w:divBdr>
        </w:div>
        <w:div w:id="616447285">
          <w:marLeft w:val="0"/>
          <w:marRight w:val="0"/>
          <w:marTop w:val="0"/>
          <w:marBottom w:val="0"/>
          <w:divBdr>
            <w:top w:val="none" w:sz="0" w:space="0" w:color="auto"/>
            <w:left w:val="none" w:sz="0" w:space="0" w:color="auto"/>
            <w:bottom w:val="none" w:sz="0" w:space="0" w:color="auto"/>
            <w:right w:val="none" w:sz="0" w:space="0" w:color="auto"/>
          </w:divBdr>
        </w:div>
        <w:div w:id="1225918972">
          <w:marLeft w:val="0"/>
          <w:marRight w:val="0"/>
          <w:marTop w:val="0"/>
          <w:marBottom w:val="0"/>
          <w:divBdr>
            <w:top w:val="none" w:sz="0" w:space="0" w:color="auto"/>
            <w:left w:val="none" w:sz="0" w:space="0" w:color="auto"/>
            <w:bottom w:val="none" w:sz="0" w:space="0" w:color="auto"/>
            <w:right w:val="none" w:sz="0" w:space="0" w:color="auto"/>
          </w:divBdr>
        </w:div>
        <w:div w:id="1678000567">
          <w:marLeft w:val="0"/>
          <w:marRight w:val="0"/>
          <w:marTop w:val="0"/>
          <w:marBottom w:val="0"/>
          <w:divBdr>
            <w:top w:val="none" w:sz="0" w:space="0" w:color="auto"/>
            <w:left w:val="none" w:sz="0" w:space="0" w:color="auto"/>
            <w:bottom w:val="none" w:sz="0" w:space="0" w:color="auto"/>
            <w:right w:val="none" w:sz="0" w:space="0" w:color="auto"/>
          </w:divBdr>
        </w:div>
        <w:div w:id="1707372274">
          <w:marLeft w:val="0"/>
          <w:marRight w:val="0"/>
          <w:marTop w:val="0"/>
          <w:marBottom w:val="0"/>
          <w:divBdr>
            <w:top w:val="none" w:sz="0" w:space="0" w:color="auto"/>
            <w:left w:val="none" w:sz="0" w:space="0" w:color="auto"/>
            <w:bottom w:val="none" w:sz="0" w:space="0" w:color="auto"/>
            <w:right w:val="none" w:sz="0" w:space="0" w:color="auto"/>
          </w:divBdr>
        </w:div>
        <w:div w:id="1842432431">
          <w:marLeft w:val="0"/>
          <w:marRight w:val="0"/>
          <w:marTop w:val="0"/>
          <w:marBottom w:val="0"/>
          <w:divBdr>
            <w:top w:val="none" w:sz="0" w:space="0" w:color="auto"/>
            <w:left w:val="none" w:sz="0" w:space="0" w:color="auto"/>
            <w:bottom w:val="none" w:sz="0" w:space="0" w:color="auto"/>
            <w:right w:val="none" w:sz="0" w:space="0" w:color="auto"/>
          </w:divBdr>
        </w:div>
        <w:div w:id="1859083105">
          <w:marLeft w:val="0"/>
          <w:marRight w:val="0"/>
          <w:marTop w:val="0"/>
          <w:marBottom w:val="0"/>
          <w:divBdr>
            <w:top w:val="none" w:sz="0" w:space="0" w:color="auto"/>
            <w:left w:val="none" w:sz="0" w:space="0" w:color="auto"/>
            <w:bottom w:val="none" w:sz="0" w:space="0" w:color="auto"/>
            <w:right w:val="none" w:sz="0" w:space="0" w:color="auto"/>
          </w:divBdr>
        </w:div>
        <w:div w:id="1877887024">
          <w:marLeft w:val="0"/>
          <w:marRight w:val="0"/>
          <w:marTop w:val="0"/>
          <w:marBottom w:val="0"/>
          <w:divBdr>
            <w:top w:val="none" w:sz="0" w:space="0" w:color="auto"/>
            <w:left w:val="none" w:sz="0" w:space="0" w:color="auto"/>
            <w:bottom w:val="none" w:sz="0" w:space="0" w:color="auto"/>
            <w:right w:val="none" w:sz="0" w:space="0" w:color="auto"/>
          </w:divBdr>
        </w:div>
      </w:divsChild>
    </w:div>
    <w:div w:id="1477336383">
      <w:bodyDiv w:val="1"/>
      <w:marLeft w:val="0"/>
      <w:marRight w:val="0"/>
      <w:marTop w:val="0"/>
      <w:marBottom w:val="0"/>
      <w:divBdr>
        <w:top w:val="none" w:sz="0" w:space="0" w:color="auto"/>
        <w:left w:val="none" w:sz="0" w:space="0" w:color="auto"/>
        <w:bottom w:val="none" w:sz="0" w:space="0" w:color="auto"/>
        <w:right w:val="none" w:sz="0" w:space="0" w:color="auto"/>
      </w:divBdr>
    </w:div>
    <w:div w:id="1608610896">
      <w:bodyDiv w:val="1"/>
      <w:marLeft w:val="0"/>
      <w:marRight w:val="0"/>
      <w:marTop w:val="0"/>
      <w:marBottom w:val="0"/>
      <w:divBdr>
        <w:top w:val="none" w:sz="0" w:space="0" w:color="auto"/>
        <w:left w:val="none" w:sz="0" w:space="0" w:color="auto"/>
        <w:bottom w:val="none" w:sz="0" w:space="0" w:color="auto"/>
        <w:right w:val="none" w:sz="0" w:space="0" w:color="auto"/>
      </w:divBdr>
      <w:divsChild>
        <w:div w:id="1374891320">
          <w:marLeft w:val="0"/>
          <w:marRight w:val="0"/>
          <w:marTop w:val="0"/>
          <w:marBottom w:val="0"/>
          <w:divBdr>
            <w:top w:val="none" w:sz="0" w:space="0" w:color="auto"/>
            <w:left w:val="none" w:sz="0" w:space="0" w:color="auto"/>
            <w:bottom w:val="none" w:sz="0" w:space="0" w:color="auto"/>
            <w:right w:val="none" w:sz="0" w:space="0" w:color="auto"/>
          </w:divBdr>
          <w:divsChild>
            <w:div w:id="2047291337">
              <w:marLeft w:val="0"/>
              <w:marRight w:val="0"/>
              <w:marTop w:val="0"/>
              <w:marBottom w:val="0"/>
              <w:divBdr>
                <w:top w:val="none" w:sz="0" w:space="0" w:color="auto"/>
                <w:left w:val="none" w:sz="0" w:space="0" w:color="auto"/>
                <w:bottom w:val="none" w:sz="0" w:space="0" w:color="auto"/>
                <w:right w:val="none" w:sz="0" w:space="0" w:color="auto"/>
              </w:divBdr>
              <w:divsChild>
                <w:div w:id="3559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77806">
      <w:bodyDiv w:val="1"/>
      <w:marLeft w:val="0"/>
      <w:marRight w:val="0"/>
      <w:marTop w:val="0"/>
      <w:marBottom w:val="0"/>
      <w:divBdr>
        <w:top w:val="none" w:sz="0" w:space="0" w:color="auto"/>
        <w:left w:val="none" w:sz="0" w:space="0" w:color="auto"/>
        <w:bottom w:val="none" w:sz="0" w:space="0" w:color="auto"/>
        <w:right w:val="none" w:sz="0" w:space="0" w:color="auto"/>
      </w:divBdr>
    </w:div>
    <w:div w:id="1852603060">
      <w:bodyDiv w:val="1"/>
      <w:marLeft w:val="0"/>
      <w:marRight w:val="0"/>
      <w:marTop w:val="0"/>
      <w:marBottom w:val="0"/>
      <w:divBdr>
        <w:top w:val="none" w:sz="0" w:space="0" w:color="auto"/>
        <w:left w:val="none" w:sz="0" w:space="0" w:color="auto"/>
        <w:bottom w:val="none" w:sz="0" w:space="0" w:color="auto"/>
        <w:right w:val="none" w:sz="0" w:space="0" w:color="auto"/>
      </w:divBdr>
      <w:divsChild>
        <w:div w:id="244920123">
          <w:marLeft w:val="0"/>
          <w:marRight w:val="0"/>
          <w:marTop w:val="0"/>
          <w:marBottom w:val="0"/>
          <w:divBdr>
            <w:top w:val="none" w:sz="0" w:space="0" w:color="auto"/>
            <w:left w:val="none" w:sz="0" w:space="0" w:color="auto"/>
            <w:bottom w:val="none" w:sz="0" w:space="0" w:color="auto"/>
            <w:right w:val="none" w:sz="0" w:space="0" w:color="auto"/>
          </w:divBdr>
        </w:div>
        <w:div w:id="298732589">
          <w:marLeft w:val="0"/>
          <w:marRight w:val="0"/>
          <w:marTop w:val="0"/>
          <w:marBottom w:val="0"/>
          <w:divBdr>
            <w:top w:val="none" w:sz="0" w:space="0" w:color="auto"/>
            <w:left w:val="none" w:sz="0" w:space="0" w:color="auto"/>
            <w:bottom w:val="none" w:sz="0" w:space="0" w:color="auto"/>
            <w:right w:val="none" w:sz="0" w:space="0" w:color="auto"/>
          </w:divBdr>
        </w:div>
        <w:div w:id="326910780">
          <w:marLeft w:val="0"/>
          <w:marRight w:val="0"/>
          <w:marTop w:val="0"/>
          <w:marBottom w:val="0"/>
          <w:divBdr>
            <w:top w:val="none" w:sz="0" w:space="0" w:color="auto"/>
            <w:left w:val="none" w:sz="0" w:space="0" w:color="auto"/>
            <w:bottom w:val="none" w:sz="0" w:space="0" w:color="auto"/>
            <w:right w:val="none" w:sz="0" w:space="0" w:color="auto"/>
          </w:divBdr>
        </w:div>
        <w:div w:id="359286482">
          <w:marLeft w:val="0"/>
          <w:marRight w:val="0"/>
          <w:marTop w:val="0"/>
          <w:marBottom w:val="0"/>
          <w:divBdr>
            <w:top w:val="none" w:sz="0" w:space="0" w:color="auto"/>
            <w:left w:val="none" w:sz="0" w:space="0" w:color="auto"/>
            <w:bottom w:val="none" w:sz="0" w:space="0" w:color="auto"/>
            <w:right w:val="none" w:sz="0" w:space="0" w:color="auto"/>
          </w:divBdr>
        </w:div>
        <w:div w:id="361057048">
          <w:marLeft w:val="0"/>
          <w:marRight w:val="0"/>
          <w:marTop w:val="0"/>
          <w:marBottom w:val="0"/>
          <w:divBdr>
            <w:top w:val="none" w:sz="0" w:space="0" w:color="auto"/>
            <w:left w:val="none" w:sz="0" w:space="0" w:color="auto"/>
            <w:bottom w:val="none" w:sz="0" w:space="0" w:color="auto"/>
            <w:right w:val="none" w:sz="0" w:space="0" w:color="auto"/>
          </w:divBdr>
        </w:div>
        <w:div w:id="472715577">
          <w:marLeft w:val="0"/>
          <w:marRight w:val="0"/>
          <w:marTop w:val="0"/>
          <w:marBottom w:val="0"/>
          <w:divBdr>
            <w:top w:val="none" w:sz="0" w:space="0" w:color="auto"/>
            <w:left w:val="none" w:sz="0" w:space="0" w:color="auto"/>
            <w:bottom w:val="none" w:sz="0" w:space="0" w:color="auto"/>
            <w:right w:val="none" w:sz="0" w:space="0" w:color="auto"/>
          </w:divBdr>
        </w:div>
        <w:div w:id="503325270">
          <w:marLeft w:val="0"/>
          <w:marRight w:val="0"/>
          <w:marTop w:val="0"/>
          <w:marBottom w:val="0"/>
          <w:divBdr>
            <w:top w:val="none" w:sz="0" w:space="0" w:color="auto"/>
            <w:left w:val="none" w:sz="0" w:space="0" w:color="auto"/>
            <w:bottom w:val="none" w:sz="0" w:space="0" w:color="auto"/>
            <w:right w:val="none" w:sz="0" w:space="0" w:color="auto"/>
          </w:divBdr>
        </w:div>
        <w:div w:id="886993778">
          <w:marLeft w:val="0"/>
          <w:marRight w:val="0"/>
          <w:marTop w:val="0"/>
          <w:marBottom w:val="0"/>
          <w:divBdr>
            <w:top w:val="none" w:sz="0" w:space="0" w:color="auto"/>
            <w:left w:val="none" w:sz="0" w:space="0" w:color="auto"/>
            <w:bottom w:val="none" w:sz="0" w:space="0" w:color="auto"/>
            <w:right w:val="none" w:sz="0" w:space="0" w:color="auto"/>
          </w:divBdr>
        </w:div>
        <w:div w:id="913509980">
          <w:marLeft w:val="0"/>
          <w:marRight w:val="0"/>
          <w:marTop w:val="0"/>
          <w:marBottom w:val="0"/>
          <w:divBdr>
            <w:top w:val="none" w:sz="0" w:space="0" w:color="auto"/>
            <w:left w:val="none" w:sz="0" w:space="0" w:color="auto"/>
            <w:bottom w:val="none" w:sz="0" w:space="0" w:color="auto"/>
            <w:right w:val="none" w:sz="0" w:space="0" w:color="auto"/>
          </w:divBdr>
        </w:div>
        <w:div w:id="966858225">
          <w:marLeft w:val="0"/>
          <w:marRight w:val="0"/>
          <w:marTop w:val="0"/>
          <w:marBottom w:val="0"/>
          <w:divBdr>
            <w:top w:val="none" w:sz="0" w:space="0" w:color="auto"/>
            <w:left w:val="none" w:sz="0" w:space="0" w:color="auto"/>
            <w:bottom w:val="none" w:sz="0" w:space="0" w:color="auto"/>
            <w:right w:val="none" w:sz="0" w:space="0" w:color="auto"/>
          </w:divBdr>
        </w:div>
        <w:div w:id="1077480678">
          <w:marLeft w:val="0"/>
          <w:marRight w:val="0"/>
          <w:marTop w:val="0"/>
          <w:marBottom w:val="0"/>
          <w:divBdr>
            <w:top w:val="none" w:sz="0" w:space="0" w:color="auto"/>
            <w:left w:val="none" w:sz="0" w:space="0" w:color="auto"/>
            <w:bottom w:val="none" w:sz="0" w:space="0" w:color="auto"/>
            <w:right w:val="none" w:sz="0" w:space="0" w:color="auto"/>
          </w:divBdr>
        </w:div>
        <w:div w:id="1109395914">
          <w:marLeft w:val="0"/>
          <w:marRight w:val="0"/>
          <w:marTop w:val="0"/>
          <w:marBottom w:val="0"/>
          <w:divBdr>
            <w:top w:val="none" w:sz="0" w:space="0" w:color="auto"/>
            <w:left w:val="none" w:sz="0" w:space="0" w:color="auto"/>
            <w:bottom w:val="none" w:sz="0" w:space="0" w:color="auto"/>
            <w:right w:val="none" w:sz="0" w:space="0" w:color="auto"/>
          </w:divBdr>
        </w:div>
        <w:div w:id="1369718712">
          <w:marLeft w:val="0"/>
          <w:marRight w:val="0"/>
          <w:marTop w:val="0"/>
          <w:marBottom w:val="0"/>
          <w:divBdr>
            <w:top w:val="none" w:sz="0" w:space="0" w:color="auto"/>
            <w:left w:val="none" w:sz="0" w:space="0" w:color="auto"/>
            <w:bottom w:val="none" w:sz="0" w:space="0" w:color="auto"/>
            <w:right w:val="none" w:sz="0" w:space="0" w:color="auto"/>
          </w:divBdr>
        </w:div>
        <w:div w:id="1375273643">
          <w:marLeft w:val="0"/>
          <w:marRight w:val="0"/>
          <w:marTop w:val="0"/>
          <w:marBottom w:val="0"/>
          <w:divBdr>
            <w:top w:val="none" w:sz="0" w:space="0" w:color="auto"/>
            <w:left w:val="none" w:sz="0" w:space="0" w:color="auto"/>
            <w:bottom w:val="none" w:sz="0" w:space="0" w:color="auto"/>
            <w:right w:val="none" w:sz="0" w:space="0" w:color="auto"/>
          </w:divBdr>
        </w:div>
        <w:div w:id="1430007883">
          <w:marLeft w:val="0"/>
          <w:marRight w:val="0"/>
          <w:marTop w:val="0"/>
          <w:marBottom w:val="0"/>
          <w:divBdr>
            <w:top w:val="none" w:sz="0" w:space="0" w:color="auto"/>
            <w:left w:val="none" w:sz="0" w:space="0" w:color="auto"/>
            <w:bottom w:val="none" w:sz="0" w:space="0" w:color="auto"/>
            <w:right w:val="none" w:sz="0" w:space="0" w:color="auto"/>
          </w:divBdr>
        </w:div>
        <w:div w:id="1581867464">
          <w:marLeft w:val="0"/>
          <w:marRight w:val="0"/>
          <w:marTop w:val="0"/>
          <w:marBottom w:val="0"/>
          <w:divBdr>
            <w:top w:val="none" w:sz="0" w:space="0" w:color="auto"/>
            <w:left w:val="none" w:sz="0" w:space="0" w:color="auto"/>
            <w:bottom w:val="none" w:sz="0" w:space="0" w:color="auto"/>
            <w:right w:val="none" w:sz="0" w:space="0" w:color="auto"/>
          </w:divBdr>
        </w:div>
        <w:div w:id="1621717039">
          <w:marLeft w:val="0"/>
          <w:marRight w:val="0"/>
          <w:marTop w:val="0"/>
          <w:marBottom w:val="0"/>
          <w:divBdr>
            <w:top w:val="none" w:sz="0" w:space="0" w:color="auto"/>
            <w:left w:val="none" w:sz="0" w:space="0" w:color="auto"/>
            <w:bottom w:val="none" w:sz="0" w:space="0" w:color="auto"/>
            <w:right w:val="none" w:sz="0" w:space="0" w:color="auto"/>
          </w:divBdr>
        </w:div>
        <w:div w:id="1629893608">
          <w:marLeft w:val="0"/>
          <w:marRight w:val="0"/>
          <w:marTop w:val="0"/>
          <w:marBottom w:val="0"/>
          <w:divBdr>
            <w:top w:val="none" w:sz="0" w:space="0" w:color="auto"/>
            <w:left w:val="none" w:sz="0" w:space="0" w:color="auto"/>
            <w:bottom w:val="none" w:sz="0" w:space="0" w:color="auto"/>
            <w:right w:val="none" w:sz="0" w:space="0" w:color="auto"/>
          </w:divBdr>
        </w:div>
        <w:div w:id="1665086645">
          <w:marLeft w:val="0"/>
          <w:marRight w:val="0"/>
          <w:marTop w:val="0"/>
          <w:marBottom w:val="0"/>
          <w:divBdr>
            <w:top w:val="none" w:sz="0" w:space="0" w:color="auto"/>
            <w:left w:val="none" w:sz="0" w:space="0" w:color="auto"/>
            <w:bottom w:val="none" w:sz="0" w:space="0" w:color="auto"/>
            <w:right w:val="none" w:sz="0" w:space="0" w:color="auto"/>
          </w:divBdr>
        </w:div>
        <w:div w:id="1687825797">
          <w:marLeft w:val="0"/>
          <w:marRight w:val="0"/>
          <w:marTop w:val="0"/>
          <w:marBottom w:val="0"/>
          <w:divBdr>
            <w:top w:val="none" w:sz="0" w:space="0" w:color="auto"/>
            <w:left w:val="none" w:sz="0" w:space="0" w:color="auto"/>
            <w:bottom w:val="none" w:sz="0" w:space="0" w:color="auto"/>
            <w:right w:val="none" w:sz="0" w:space="0" w:color="auto"/>
          </w:divBdr>
        </w:div>
        <w:div w:id="1747649995">
          <w:marLeft w:val="0"/>
          <w:marRight w:val="0"/>
          <w:marTop w:val="0"/>
          <w:marBottom w:val="0"/>
          <w:divBdr>
            <w:top w:val="none" w:sz="0" w:space="0" w:color="auto"/>
            <w:left w:val="none" w:sz="0" w:space="0" w:color="auto"/>
            <w:bottom w:val="none" w:sz="0" w:space="0" w:color="auto"/>
            <w:right w:val="none" w:sz="0" w:space="0" w:color="auto"/>
          </w:divBdr>
        </w:div>
        <w:div w:id="1821069890">
          <w:marLeft w:val="0"/>
          <w:marRight w:val="0"/>
          <w:marTop w:val="0"/>
          <w:marBottom w:val="0"/>
          <w:divBdr>
            <w:top w:val="none" w:sz="0" w:space="0" w:color="auto"/>
            <w:left w:val="none" w:sz="0" w:space="0" w:color="auto"/>
            <w:bottom w:val="none" w:sz="0" w:space="0" w:color="auto"/>
            <w:right w:val="none" w:sz="0" w:space="0" w:color="auto"/>
          </w:divBdr>
        </w:div>
        <w:div w:id="1994992211">
          <w:marLeft w:val="0"/>
          <w:marRight w:val="0"/>
          <w:marTop w:val="0"/>
          <w:marBottom w:val="0"/>
          <w:divBdr>
            <w:top w:val="none" w:sz="0" w:space="0" w:color="auto"/>
            <w:left w:val="none" w:sz="0" w:space="0" w:color="auto"/>
            <w:bottom w:val="none" w:sz="0" w:space="0" w:color="auto"/>
            <w:right w:val="none" w:sz="0" w:space="0" w:color="auto"/>
          </w:divBdr>
        </w:div>
        <w:div w:id="2054767347">
          <w:marLeft w:val="0"/>
          <w:marRight w:val="0"/>
          <w:marTop w:val="0"/>
          <w:marBottom w:val="0"/>
          <w:divBdr>
            <w:top w:val="none" w:sz="0" w:space="0" w:color="auto"/>
            <w:left w:val="none" w:sz="0" w:space="0" w:color="auto"/>
            <w:bottom w:val="none" w:sz="0" w:space="0" w:color="auto"/>
            <w:right w:val="none" w:sz="0" w:space="0" w:color="auto"/>
          </w:divBdr>
        </w:div>
        <w:div w:id="2115861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6DA7E-03DE-4C40-B47E-D1A678011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10</Pages>
  <Words>2523</Words>
  <Characters>15140</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Agata Gęsiak-Kaniuka</dc:creator>
  <cp:lastModifiedBy>Barbara Radziwiłł-Wróbel</cp:lastModifiedBy>
  <cp:revision>5</cp:revision>
  <cp:lastPrinted>2016-12-12T08:19:00Z</cp:lastPrinted>
  <dcterms:created xsi:type="dcterms:W3CDTF">2017-01-02T10:03:00Z</dcterms:created>
  <dcterms:modified xsi:type="dcterms:W3CDTF">2017-01-10T09:48:00Z</dcterms:modified>
</cp:coreProperties>
</file>