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03943" w14:textId="77777777" w:rsidR="00AF7C30" w:rsidRDefault="00AF7C30" w:rsidP="00AF7C30">
      <w:pPr>
        <w:autoSpaceDE w:val="0"/>
        <w:autoSpaceDN w:val="0"/>
        <w:adjustRightInd w:val="0"/>
        <w:spacing w:before="0" w:line="240" w:lineRule="auto"/>
        <w:jc w:val="center"/>
        <w:rPr>
          <w:rFonts w:asciiTheme="minorHAnsi" w:hAnsiTheme="minorHAnsi" w:cs="Calibri"/>
          <w:b/>
          <w:color w:val="000000"/>
          <w:szCs w:val="22"/>
        </w:rPr>
      </w:pPr>
      <w:bookmarkStart w:id="0" w:name="_Toc426632922"/>
      <w:bookmarkStart w:id="1" w:name="_Toc430826826"/>
      <w:bookmarkStart w:id="2" w:name="_Toc432758974"/>
    </w:p>
    <w:p w14:paraId="1FF1F929" w14:textId="77777777" w:rsidR="00C55D7D" w:rsidRPr="00C55D7D" w:rsidRDefault="00C97EA0" w:rsidP="00C55D7D">
      <w:pPr>
        <w:jc w:val="center"/>
        <w:rPr>
          <w:rFonts w:asciiTheme="minorHAnsi" w:hAnsiTheme="minorHAnsi" w:cs="Calibri"/>
          <w:b/>
          <w:color w:val="000000"/>
        </w:rPr>
      </w:pPr>
      <w:r w:rsidRPr="00D52C48">
        <w:rPr>
          <w:rFonts w:asciiTheme="minorHAnsi" w:hAnsiTheme="minorHAnsi" w:cs="Calibri"/>
          <w:b/>
          <w:color w:val="000000"/>
        </w:rPr>
        <w:t xml:space="preserve">Lista wskaźników na poziomie projektu dla Działania </w:t>
      </w:r>
      <w:r w:rsidR="00FA0CF9" w:rsidRPr="00D52C48">
        <w:rPr>
          <w:rFonts w:asciiTheme="minorHAnsi" w:hAnsiTheme="minorHAnsi" w:cs="Calibri"/>
          <w:b/>
          <w:color w:val="000000"/>
        </w:rPr>
        <w:t>3.3</w:t>
      </w:r>
      <w:r w:rsidRPr="00D52C48">
        <w:rPr>
          <w:rFonts w:asciiTheme="minorHAnsi" w:hAnsiTheme="minorHAnsi" w:cs="Calibri"/>
          <w:b/>
          <w:color w:val="000000"/>
        </w:rPr>
        <w:t xml:space="preserve">, </w:t>
      </w:r>
      <w:r w:rsidR="00FA0CF9" w:rsidRPr="00D52C48">
        <w:rPr>
          <w:rFonts w:asciiTheme="minorHAnsi" w:hAnsiTheme="minorHAnsi" w:cs="Calibri"/>
          <w:b/>
          <w:color w:val="000000"/>
        </w:rPr>
        <w:t xml:space="preserve">Typ </w:t>
      </w:r>
      <w:r w:rsidR="00C55D7D">
        <w:rPr>
          <w:rFonts w:asciiTheme="minorHAnsi" w:hAnsiTheme="minorHAnsi" w:cs="Calibri"/>
          <w:b/>
          <w:color w:val="000000"/>
        </w:rPr>
        <w:t>C</w:t>
      </w:r>
      <w:r w:rsidR="00FA0CF9" w:rsidRPr="00D52C48">
        <w:rPr>
          <w:rFonts w:asciiTheme="minorHAnsi" w:eastAsiaTheme="minorHAnsi" w:hAnsiTheme="minorHAnsi" w:cstheme="minorBidi"/>
          <w:b/>
          <w:szCs w:val="22"/>
          <w:lang w:eastAsia="en-US"/>
        </w:rPr>
        <w:t xml:space="preserve"> </w:t>
      </w:r>
      <w:r w:rsidR="00C55D7D" w:rsidRPr="00C55D7D">
        <w:rPr>
          <w:rFonts w:asciiTheme="minorHAnsi" w:hAnsiTheme="minorHAnsi" w:cs="Calibri"/>
          <w:b/>
          <w:color w:val="000000"/>
        </w:rPr>
        <w:t>Projekty demonstracyjne – publiczne inwestycje w zakresie budownictwa o znacznie podwyższonych parametrach charakterystyki energetycznej w budynkach użyteczności publicznej</w:t>
      </w:r>
    </w:p>
    <w:p w14:paraId="1D17BD81" w14:textId="200C2A06" w:rsidR="00CF69D1" w:rsidRPr="00D52C48" w:rsidRDefault="00CF69D1" w:rsidP="00C55D7D">
      <w:pPr>
        <w:jc w:val="center"/>
        <w:rPr>
          <w:rFonts w:asciiTheme="minorHAnsi" w:eastAsiaTheme="minorHAnsi" w:hAnsiTheme="minorHAnsi" w:cs="Calibri"/>
          <w:szCs w:val="22"/>
          <w:lang w:eastAsia="en-US"/>
        </w:rPr>
      </w:pPr>
    </w:p>
    <w:bookmarkEnd w:id="0"/>
    <w:bookmarkEnd w:id="1"/>
    <w:bookmarkEnd w:id="2"/>
    <w:p w14:paraId="32CDC7AB" w14:textId="77777777" w:rsidR="00DF6D97" w:rsidRPr="00D52C48"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D52C48">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14:paraId="1B71C1BE" w14:textId="77777777" w:rsidR="00DF6D97" w:rsidRPr="00D52C48" w:rsidRDefault="00DF6D97" w:rsidP="00DF6D97">
      <w:pPr>
        <w:autoSpaceDE w:val="0"/>
        <w:autoSpaceDN w:val="0"/>
        <w:spacing w:before="120" w:after="120" w:line="240" w:lineRule="auto"/>
        <w:jc w:val="both"/>
        <w:rPr>
          <w:rFonts w:asciiTheme="minorHAnsi" w:hAnsiTheme="minorHAnsi"/>
          <w:szCs w:val="22"/>
        </w:rPr>
      </w:pPr>
      <w:r w:rsidRPr="00D52C48">
        <w:rPr>
          <w:rFonts w:asciiTheme="minorHAnsi" w:eastAsiaTheme="minorHAnsi" w:hAnsiTheme="minorHAnsi" w:cs="Calibri"/>
          <w:szCs w:val="22"/>
          <w:lang w:eastAsia="en-US"/>
        </w:rPr>
        <w:t xml:space="preserve">Wybór wskaźników projektu powinien być powiązany z typem realizowanego przedsięwzięcia </w:t>
      </w:r>
      <w:r w:rsidRPr="00D52C48">
        <w:rPr>
          <w:rFonts w:asciiTheme="minorHAnsi" w:eastAsiaTheme="minorHAnsi" w:hAnsiTheme="minorHAnsi" w:cs="Calibri"/>
          <w:szCs w:val="22"/>
          <w:lang w:eastAsia="en-US"/>
        </w:rPr>
        <w:br/>
        <w:t xml:space="preserve">i planowanymi działaniami, które Wnioskodawca zamierza podjąć w ramach projektu. </w:t>
      </w:r>
      <w:r w:rsidRPr="00D52C48">
        <w:rPr>
          <w:rFonts w:asciiTheme="minorHAnsi" w:eastAsiaTheme="minorHAnsi" w:hAnsiTheme="minorHAnsi" w:cs="Calibri"/>
          <w:bCs/>
          <w:szCs w:val="22"/>
          <w:lang w:eastAsia="en-US"/>
        </w:rPr>
        <w:t>Do celu głównego projektu Wnioskodawca powinien dobrać odpowiednie wskaźniki, produktu i rezultatu</w:t>
      </w:r>
      <w:r w:rsidRPr="00D52C48">
        <w:rPr>
          <w:rFonts w:asciiTheme="minorHAnsi" w:eastAsiaTheme="minorHAnsi" w:hAnsiTheme="minorHAnsi" w:cs="Calibri"/>
          <w:szCs w:val="22"/>
          <w:lang w:eastAsia="en-US"/>
        </w:rPr>
        <w:t xml:space="preserve"> bezpośredniego. Muszą być logicznie powiązane z projektem i spójne. </w:t>
      </w:r>
    </w:p>
    <w:p w14:paraId="76224899" w14:textId="77777777" w:rsidR="00DF6D97" w:rsidRPr="00D52C48"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D52C48">
        <w:rPr>
          <w:rFonts w:asciiTheme="minorHAnsi" w:hAnsiTheme="minorHAnsi"/>
          <w:szCs w:val="22"/>
        </w:rPr>
        <w:t>Każdy ze wskaźników powinien posiadać następujące cechy:</w:t>
      </w:r>
    </w:p>
    <w:p w14:paraId="1C4806BA" w14:textId="77777777" w:rsidR="00DF6D97" w:rsidRPr="00D52C4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D52C48">
        <w:rPr>
          <w:rFonts w:asciiTheme="minorHAnsi" w:hAnsiTheme="minorHAnsi"/>
          <w:szCs w:val="22"/>
        </w:rPr>
        <w:t>adekwatność – wskaźnik powinien być dostosowany do charakteru projektu oraz oczekiwanych efektów związanych z jego realizacją;</w:t>
      </w:r>
    </w:p>
    <w:p w14:paraId="1236CBD7" w14:textId="77777777" w:rsidR="00DF6D97" w:rsidRPr="00D52C4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D52C48">
        <w:rPr>
          <w:rFonts w:asciiTheme="minorHAnsi" w:hAnsiTheme="minorHAnsi"/>
          <w:szCs w:val="22"/>
        </w:rPr>
        <w:t>mierzalność – wskaźnik powinien być kwantyfikowalny, tj. wyrażony w wartościach liczbowych bądź finansowych;</w:t>
      </w:r>
    </w:p>
    <w:p w14:paraId="5B36A868" w14:textId="77777777" w:rsidR="00DF6D97" w:rsidRPr="00D52C4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D52C48">
        <w:rPr>
          <w:rFonts w:asciiTheme="minorHAnsi" w:hAnsiTheme="minorHAnsi"/>
          <w:szCs w:val="22"/>
        </w:rPr>
        <w:t>wiarygodność – wskaźnik powinien być zdefiniowany w taki sposób, aby jego weryfikacja nie powodowała utrudnień;</w:t>
      </w:r>
    </w:p>
    <w:p w14:paraId="5AE78B8D" w14:textId="77777777" w:rsidR="00DF6D97" w:rsidRPr="00D52C4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D52C48">
        <w:rPr>
          <w:rFonts w:asciiTheme="minorHAnsi" w:hAnsiTheme="minorHAnsi"/>
          <w:szCs w:val="22"/>
        </w:rPr>
        <w:t>dostępność – wskaźnik powinien być łatwy do określenia w wyniku realizacji projektu;</w:t>
      </w:r>
    </w:p>
    <w:p w14:paraId="7FE17E08" w14:textId="77777777" w:rsidR="00DF6D97" w:rsidRPr="00D52C4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D52C48">
        <w:rPr>
          <w:rFonts w:asciiTheme="minorHAnsi" w:hAnsiTheme="minorHAnsi"/>
          <w:szCs w:val="22"/>
        </w:rPr>
        <w:t>określony w czasie – wartość wskaźnika powinna zostać określona w czasie, tj. określony rok osiągnięcia wartości docelowej wskaźnika oraz okres, w którym będzie mierzony wskaźnik</w:t>
      </w:r>
    </w:p>
    <w:p w14:paraId="08ACE2A2" w14:textId="77777777" w:rsidR="00DF6D97" w:rsidRPr="00D52C48" w:rsidRDefault="00DF6D97" w:rsidP="00DF6D97">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D52C48">
        <w:rPr>
          <w:rFonts w:asciiTheme="minorHAnsi" w:eastAsiaTheme="minorHAnsi" w:hAnsiTheme="minorHAnsi" w:cs="Calibri"/>
          <w:szCs w:val="22"/>
          <w:lang w:eastAsia="en-US"/>
        </w:rPr>
        <w:t xml:space="preserve">Odpowiednio we wniosku o dofinansowanie należy określić, w jaki sposób mierzona będzie realizacja celu poprzez ustalenie wskaźników. </w:t>
      </w:r>
    </w:p>
    <w:p w14:paraId="6B7F1FB7" w14:textId="77777777" w:rsidR="00DF6D97" w:rsidRPr="00D52C48" w:rsidRDefault="00DF6D97" w:rsidP="00DF6D97">
      <w:pPr>
        <w:spacing w:before="120" w:after="120" w:line="240" w:lineRule="auto"/>
        <w:jc w:val="both"/>
        <w:rPr>
          <w:rFonts w:asciiTheme="minorHAnsi" w:hAnsiTheme="minorHAnsi"/>
          <w:b/>
          <w:szCs w:val="22"/>
        </w:rPr>
      </w:pPr>
    </w:p>
    <w:p w14:paraId="06F09889" w14:textId="77777777" w:rsidR="00DF6D97" w:rsidRPr="00D52C48" w:rsidRDefault="00DF6D97" w:rsidP="00DF6D97">
      <w:pPr>
        <w:spacing w:before="120" w:after="120" w:line="240" w:lineRule="auto"/>
        <w:jc w:val="both"/>
        <w:rPr>
          <w:rFonts w:asciiTheme="minorHAnsi" w:hAnsiTheme="minorHAnsi"/>
          <w:b/>
          <w:szCs w:val="22"/>
        </w:rPr>
      </w:pPr>
      <w:r w:rsidRPr="00D52C48">
        <w:rPr>
          <w:rFonts w:asciiTheme="minorHAnsi" w:hAnsiTheme="minorHAnsi"/>
          <w:b/>
          <w:szCs w:val="22"/>
        </w:rPr>
        <w:t>W ramach RPO WD 2014-2020 rozróżnia się następujące wskaźniki:</w:t>
      </w:r>
    </w:p>
    <w:p w14:paraId="5718665B" w14:textId="77777777" w:rsidR="00DF6D97" w:rsidRPr="00D52C4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D52C48">
        <w:rPr>
          <w:rFonts w:asciiTheme="minorHAnsi" w:hAnsiTheme="minorHAnsi"/>
          <w:b/>
          <w:szCs w:val="22"/>
        </w:rPr>
        <w:t>obligatoryjne – wskaźniki ujęte w RPO WD 2014-2020, SZOOP RPO WD 2014-2020</w:t>
      </w:r>
    </w:p>
    <w:p w14:paraId="5E1B9FCD" w14:textId="77777777" w:rsidR="00DF6D97" w:rsidRPr="00D52C4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D52C48">
        <w:rPr>
          <w:rFonts w:asciiTheme="minorHAnsi" w:hAnsiTheme="minorHAnsi"/>
          <w:b/>
          <w:szCs w:val="22"/>
        </w:rPr>
        <w:t xml:space="preserve">horyzontalne </w:t>
      </w:r>
    </w:p>
    <w:p w14:paraId="64CE6725" w14:textId="77777777" w:rsidR="00DF6D97" w:rsidRPr="00D52C4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D52C48">
        <w:rPr>
          <w:rFonts w:asciiTheme="minorHAnsi" w:hAnsiTheme="minorHAnsi"/>
          <w:b/>
          <w:szCs w:val="22"/>
        </w:rPr>
        <w:t>dodatkowe – wskaźniki projektowe</w:t>
      </w:r>
    </w:p>
    <w:p w14:paraId="5D57D0F4" w14:textId="77777777" w:rsidR="00DF6D97" w:rsidRPr="00D52C48" w:rsidRDefault="00DF6D97" w:rsidP="00DF6D97">
      <w:pPr>
        <w:pStyle w:val="Akapitzlist"/>
        <w:spacing w:before="120" w:after="120" w:line="240" w:lineRule="auto"/>
        <w:ind w:left="720"/>
        <w:jc w:val="both"/>
        <w:rPr>
          <w:rFonts w:asciiTheme="minorHAnsi" w:hAnsiTheme="minorHAnsi"/>
          <w:b/>
          <w:szCs w:val="22"/>
        </w:rPr>
      </w:pPr>
    </w:p>
    <w:p w14:paraId="0CF80AAB" w14:textId="77777777" w:rsidR="00DF6D97" w:rsidRPr="00D52C48" w:rsidRDefault="00DF6D97" w:rsidP="00DF6D97">
      <w:pPr>
        <w:pStyle w:val="Nagwek1"/>
        <w:spacing w:before="120" w:after="120" w:line="240" w:lineRule="auto"/>
        <w:jc w:val="both"/>
        <w:rPr>
          <w:rFonts w:asciiTheme="minorHAnsi" w:hAnsiTheme="minorHAnsi"/>
          <w:sz w:val="22"/>
          <w:szCs w:val="22"/>
        </w:rPr>
      </w:pPr>
      <w:r w:rsidRPr="00D52C48">
        <w:rPr>
          <w:rFonts w:asciiTheme="minorHAnsi" w:hAnsiTheme="minorHAnsi"/>
          <w:sz w:val="22"/>
          <w:szCs w:val="22"/>
        </w:rPr>
        <w:t>Wymagania w zakresie wskaźników w projekcie</w:t>
      </w:r>
    </w:p>
    <w:p w14:paraId="22BDF66C" w14:textId="77777777" w:rsidR="00DF6D97" w:rsidRPr="00D52C48" w:rsidRDefault="00DF6D97" w:rsidP="00DF6D97">
      <w:pPr>
        <w:pStyle w:val="Default"/>
        <w:jc w:val="both"/>
        <w:rPr>
          <w:rFonts w:asciiTheme="minorHAnsi" w:eastAsiaTheme="minorHAnsi" w:hAnsiTheme="minorHAnsi" w:cs="Calibri"/>
          <w:sz w:val="22"/>
          <w:szCs w:val="22"/>
          <w:lang w:eastAsia="en-US"/>
        </w:rPr>
      </w:pPr>
      <w:r w:rsidRPr="00D52C48">
        <w:rPr>
          <w:rFonts w:asciiTheme="minorHAnsi" w:eastAsiaTheme="minorHAnsi" w:hAnsiTheme="minorHAnsi" w:cs="Calibri"/>
          <w:sz w:val="22"/>
          <w:szCs w:val="22"/>
          <w:lang w:eastAsia="en-US"/>
        </w:rPr>
        <w:t xml:space="preserve">W ramach wniosku o dofinansowanie projektu Wnioskodawca określa </w:t>
      </w:r>
      <w:r w:rsidRPr="00D52C48">
        <w:rPr>
          <w:rFonts w:asciiTheme="minorHAnsi" w:eastAsiaTheme="minorHAnsi" w:hAnsiTheme="minorHAnsi" w:cs="Calibri"/>
          <w:b/>
          <w:bCs/>
          <w:sz w:val="22"/>
          <w:szCs w:val="22"/>
          <w:lang w:eastAsia="en-US"/>
        </w:rPr>
        <w:t>wskaźniki służące pomiarowi działań i celów założonych w projekcie.</w:t>
      </w:r>
      <w:r w:rsidRPr="00D52C48">
        <w:rPr>
          <w:rFonts w:asciiTheme="minorHAnsi" w:eastAsiaTheme="minorHAnsi" w:hAnsiTheme="minorHAnsi" w:cs="Calibri"/>
          <w:sz w:val="22"/>
          <w:szCs w:val="22"/>
          <w:lang w:eastAsia="en-US"/>
        </w:rPr>
        <w:t xml:space="preserve"> Wskaźniki w ramach projektu należy określić mając </w:t>
      </w:r>
      <w:r w:rsidRPr="00D52C48">
        <w:rPr>
          <w:rFonts w:asciiTheme="minorHAnsi" w:eastAsiaTheme="minorHAnsi" w:hAnsiTheme="minorHAnsi" w:cs="Calibri"/>
          <w:sz w:val="22"/>
          <w:szCs w:val="22"/>
          <w:lang w:eastAsia="en-US"/>
        </w:rPr>
        <w:br/>
        <w:t>w szczególności na uwadze zapisy niniejszego regulaminu.</w:t>
      </w:r>
    </w:p>
    <w:p w14:paraId="6CA35ED4" w14:textId="77777777" w:rsidR="00DF6D97" w:rsidRPr="00D52C48" w:rsidRDefault="00DF6D97" w:rsidP="00DF6D97">
      <w:pPr>
        <w:pStyle w:val="Default"/>
        <w:jc w:val="both"/>
        <w:rPr>
          <w:rFonts w:asciiTheme="minorHAnsi" w:eastAsiaTheme="minorHAnsi" w:hAnsiTheme="minorHAnsi" w:cs="Calibri"/>
          <w:sz w:val="22"/>
          <w:szCs w:val="22"/>
          <w:lang w:eastAsia="en-US"/>
        </w:rPr>
      </w:pPr>
    </w:p>
    <w:p w14:paraId="5279E3CD" w14:textId="77777777" w:rsidR="00DF6D97" w:rsidRPr="00D52C48" w:rsidRDefault="00DF6D97" w:rsidP="00DF6D97">
      <w:pPr>
        <w:pStyle w:val="Default"/>
        <w:jc w:val="both"/>
        <w:rPr>
          <w:rFonts w:asciiTheme="minorHAnsi" w:hAnsiTheme="minorHAnsi"/>
          <w:b/>
          <w:sz w:val="22"/>
          <w:szCs w:val="22"/>
        </w:rPr>
      </w:pPr>
      <w:r w:rsidRPr="00D52C48">
        <w:rPr>
          <w:rFonts w:asciiTheme="minorHAnsi" w:eastAsiaTheme="minorHAnsi" w:hAnsiTheme="minorHAnsi" w:cs="Calibri"/>
          <w:sz w:val="22"/>
          <w:szCs w:val="22"/>
          <w:lang w:eastAsia="en-US"/>
        </w:rPr>
        <w:t xml:space="preserve"> </w:t>
      </w:r>
      <w:r w:rsidRPr="00D52C48">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14:paraId="292501D2" w14:textId="77777777" w:rsidR="00DF6D97" w:rsidRPr="00D52C48" w:rsidRDefault="00DF6D97" w:rsidP="008B73B1">
      <w:pPr>
        <w:autoSpaceDE w:val="0"/>
        <w:autoSpaceDN w:val="0"/>
        <w:adjustRightInd w:val="0"/>
        <w:spacing w:line="240" w:lineRule="auto"/>
        <w:ind w:firstLine="708"/>
        <w:jc w:val="both"/>
        <w:rPr>
          <w:rFonts w:asciiTheme="minorHAnsi" w:hAnsiTheme="minorHAnsi" w:cs="Arial"/>
          <w:color w:val="000000"/>
          <w:szCs w:val="22"/>
        </w:rPr>
      </w:pPr>
      <w:r w:rsidRPr="00D52C48">
        <w:rPr>
          <w:rFonts w:asciiTheme="minorHAnsi" w:hAnsiTheme="minorHAnsi" w:cs="Arial"/>
          <w:b/>
          <w:color w:val="000000"/>
          <w:szCs w:val="22"/>
        </w:rPr>
        <w:t>W</w:t>
      </w:r>
      <w:r w:rsidRPr="00D52C48">
        <w:rPr>
          <w:rFonts w:asciiTheme="minorHAnsi" w:hAnsiTheme="minorHAnsi" w:cs="Arial"/>
          <w:b/>
          <w:bCs/>
          <w:color w:val="000000"/>
          <w:szCs w:val="22"/>
        </w:rPr>
        <w:t>skaźniki produktu</w:t>
      </w:r>
      <w:r w:rsidRPr="00D52C48">
        <w:rPr>
          <w:rFonts w:asciiTheme="minorHAnsi" w:hAnsiTheme="minorHAnsi" w:cs="Arial"/>
          <w:bCs/>
          <w:color w:val="000000"/>
          <w:szCs w:val="22"/>
        </w:rPr>
        <w:t xml:space="preserve"> są to wskaźniki powiązane bezpośrednio z wydatkami ponoszonymi </w:t>
      </w:r>
      <w:r w:rsidRPr="00D52C48">
        <w:rPr>
          <w:rFonts w:asciiTheme="minorHAnsi" w:hAnsiTheme="minorHAnsi" w:cs="Arial"/>
          <w:bCs/>
          <w:color w:val="000000"/>
          <w:szCs w:val="22"/>
        </w:rPr>
        <w:br/>
        <w:t>w projekcie</w:t>
      </w:r>
      <w:r w:rsidRPr="00D52C48">
        <w:rPr>
          <w:rFonts w:asciiTheme="minorHAnsi" w:hAnsiTheme="minorHAnsi" w:cs="Arial"/>
          <w:color w:val="000000"/>
          <w:szCs w:val="22"/>
        </w:rPr>
        <w:t>, mierzone konkretnymi wielkościami. Liczone są w jednostkach fizycznych lub monetarnych. Wybrane przez Wnioskodawcę wskaźniki muszą być adekwatne do zakresu projektu oraz mają być powiązane z głównymi kategoriami wydatków w projekcie.</w:t>
      </w:r>
    </w:p>
    <w:p w14:paraId="0BC3A0AC" w14:textId="77777777" w:rsidR="00DF6D97" w:rsidRPr="00D52C48" w:rsidRDefault="00DF6D97" w:rsidP="00DF6D97">
      <w:pPr>
        <w:pStyle w:val="Default"/>
        <w:jc w:val="both"/>
        <w:rPr>
          <w:rFonts w:asciiTheme="minorHAnsi" w:hAnsiTheme="minorHAnsi"/>
          <w:sz w:val="22"/>
          <w:szCs w:val="22"/>
        </w:rPr>
      </w:pPr>
      <w:r w:rsidRPr="00D52C48">
        <w:rPr>
          <w:rFonts w:asciiTheme="minorHAnsi" w:hAnsiTheme="minorHAnsi"/>
          <w:sz w:val="22"/>
          <w:szCs w:val="22"/>
        </w:rPr>
        <w:lastRenderedPageBreak/>
        <w:t xml:space="preserve">Dla każdego z wybranych wskaźników Wnioskodawca zobowiązany jest do wskazania </w:t>
      </w:r>
      <w:r w:rsidRPr="00D52C48">
        <w:rPr>
          <w:rFonts w:asciiTheme="minorHAnsi" w:hAnsiTheme="minorHAnsi"/>
          <w:i/>
          <w:sz w:val="22"/>
          <w:szCs w:val="22"/>
        </w:rPr>
        <w:t>„Jednostki miary”</w:t>
      </w:r>
      <w:r w:rsidRPr="00D52C48">
        <w:rPr>
          <w:rFonts w:asciiTheme="minorHAnsi" w:hAnsiTheme="minorHAnsi"/>
          <w:sz w:val="22"/>
          <w:szCs w:val="22"/>
        </w:rPr>
        <w:t xml:space="preserve">, </w:t>
      </w:r>
      <w:r w:rsidRPr="00D52C48">
        <w:rPr>
          <w:rFonts w:asciiTheme="minorHAnsi" w:hAnsiTheme="minorHAnsi"/>
          <w:i/>
          <w:sz w:val="22"/>
          <w:szCs w:val="22"/>
        </w:rPr>
        <w:t>„Wartości bazowej”</w:t>
      </w:r>
      <w:r w:rsidRPr="00D52C48">
        <w:rPr>
          <w:rFonts w:asciiTheme="minorHAnsi" w:hAnsiTheme="minorHAnsi"/>
          <w:sz w:val="22"/>
          <w:szCs w:val="22"/>
        </w:rPr>
        <w:t xml:space="preserve">, </w:t>
      </w:r>
      <w:r w:rsidRPr="00D52C48">
        <w:rPr>
          <w:rFonts w:asciiTheme="minorHAnsi" w:hAnsiTheme="minorHAnsi"/>
          <w:i/>
          <w:sz w:val="22"/>
          <w:szCs w:val="22"/>
        </w:rPr>
        <w:t>„Wartości docelowej wskaźnika”</w:t>
      </w:r>
      <w:r w:rsidRPr="00D52C48">
        <w:rPr>
          <w:rFonts w:asciiTheme="minorHAnsi" w:hAnsiTheme="minorHAnsi"/>
          <w:sz w:val="22"/>
          <w:szCs w:val="22"/>
        </w:rPr>
        <w:t xml:space="preserve">, a także </w:t>
      </w:r>
      <w:r w:rsidRPr="00D52C48">
        <w:rPr>
          <w:rFonts w:asciiTheme="minorHAnsi" w:hAnsiTheme="minorHAnsi"/>
          <w:i/>
          <w:sz w:val="22"/>
          <w:szCs w:val="22"/>
        </w:rPr>
        <w:t>„Źródła informacji o wskaźniku”</w:t>
      </w:r>
      <w:r w:rsidRPr="00D52C48">
        <w:rPr>
          <w:rFonts w:asciiTheme="minorHAnsi" w:hAnsiTheme="minorHAnsi"/>
          <w:sz w:val="22"/>
          <w:szCs w:val="22"/>
        </w:rPr>
        <w:t xml:space="preserve">. </w:t>
      </w:r>
    </w:p>
    <w:p w14:paraId="6AF78F9E" w14:textId="77777777" w:rsidR="00DF6D97" w:rsidRPr="00D52C48" w:rsidRDefault="00DF6D97" w:rsidP="00DF6D97">
      <w:pPr>
        <w:pStyle w:val="Default"/>
        <w:jc w:val="both"/>
        <w:rPr>
          <w:rFonts w:asciiTheme="minorHAnsi" w:hAnsiTheme="minorHAnsi"/>
          <w:sz w:val="22"/>
          <w:szCs w:val="22"/>
        </w:rPr>
      </w:pPr>
      <w:r w:rsidRPr="00D52C48">
        <w:rPr>
          <w:rFonts w:asciiTheme="minorHAnsi" w:hAnsiTheme="minorHAnsi"/>
          <w:sz w:val="22"/>
          <w:szCs w:val="22"/>
        </w:rPr>
        <w:t xml:space="preserve">Wartość docelowa dla wskaźnika produktu to wyrażony liczbowo stan danego wskaźnika na moment zakończenia rzeczowej realizacji projektu. </w:t>
      </w:r>
    </w:p>
    <w:p w14:paraId="364D95E3" w14:textId="77777777" w:rsidR="00DF6D97" w:rsidRPr="00D52C48" w:rsidRDefault="00DF6D97" w:rsidP="00DF6D97">
      <w:pPr>
        <w:pStyle w:val="Default"/>
        <w:jc w:val="both"/>
        <w:rPr>
          <w:rFonts w:asciiTheme="minorHAnsi" w:hAnsiTheme="minorHAnsi"/>
          <w:sz w:val="22"/>
          <w:szCs w:val="22"/>
        </w:rPr>
      </w:pPr>
      <w:r w:rsidRPr="00D52C48">
        <w:rPr>
          <w:rFonts w:asciiTheme="minorHAnsi" w:hAnsiTheme="minorHAnsi"/>
          <w:sz w:val="22"/>
          <w:szCs w:val="22"/>
        </w:rPr>
        <w:t xml:space="preserve">Jako źródło informacji o wskaźniku wskazać należy odpowiedni dokument (np. protokół odbioru robót). </w:t>
      </w:r>
    </w:p>
    <w:p w14:paraId="03EA316D" w14:textId="101F0D23" w:rsidR="0083665B" w:rsidRPr="00D52C48" w:rsidRDefault="00DF6D97" w:rsidP="00DF6D97">
      <w:pPr>
        <w:autoSpaceDE w:val="0"/>
        <w:autoSpaceDN w:val="0"/>
        <w:adjustRightInd w:val="0"/>
        <w:spacing w:before="120" w:after="120" w:line="240" w:lineRule="auto"/>
        <w:jc w:val="both"/>
        <w:rPr>
          <w:rFonts w:asciiTheme="minorHAnsi" w:hAnsiTheme="minorHAnsi"/>
          <w:b/>
          <w:szCs w:val="22"/>
        </w:rPr>
      </w:pPr>
      <w:r w:rsidRPr="00D52C48">
        <w:rPr>
          <w:rFonts w:asciiTheme="minorHAnsi" w:hAnsiTheme="minorHAnsi"/>
          <w:szCs w:val="22"/>
        </w:rPr>
        <w:t xml:space="preserve">W ramach Działania </w:t>
      </w:r>
      <w:r w:rsidR="00FA0CF9" w:rsidRPr="00D52C48">
        <w:rPr>
          <w:rFonts w:asciiTheme="minorHAnsi" w:hAnsiTheme="minorHAnsi"/>
          <w:szCs w:val="22"/>
        </w:rPr>
        <w:t>3.3 e</w:t>
      </w:r>
      <w:r w:rsidRPr="00D52C48">
        <w:rPr>
          <w:rFonts w:asciiTheme="minorHAnsi" w:hAnsiTheme="minorHAnsi"/>
          <w:szCs w:val="22"/>
        </w:rPr>
        <w:t xml:space="preserve"> określono poniższe wskaźniki </w:t>
      </w:r>
      <w:r w:rsidRPr="00D52C48">
        <w:rPr>
          <w:rFonts w:asciiTheme="minorHAnsi" w:hAnsiTheme="minorHAnsi"/>
          <w:b/>
          <w:szCs w:val="22"/>
        </w:rPr>
        <w:t>produktu:</w:t>
      </w:r>
    </w:p>
    <w:tbl>
      <w:tblPr>
        <w:tblW w:w="5171"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234"/>
        <w:gridCol w:w="1011"/>
        <w:gridCol w:w="4678"/>
        <w:gridCol w:w="1683"/>
      </w:tblGrid>
      <w:tr w:rsidR="00370466" w:rsidRPr="00D52C48" w14:paraId="4C1C482F" w14:textId="77777777" w:rsidTr="007B5608">
        <w:trPr>
          <w:cantSplit/>
          <w:trHeight w:val="20"/>
          <w:jc w:val="center"/>
        </w:trPr>
        <w:tc>
          <w:tcPr>
            <w:tcW w:w="1163" w:type="pct"/>
            <w:shd w:val="clear" w:color="auto" w:fill="auto"/>
            <w:vAlign w:val="center"/>
          </w:tcPr>
          <w:p w14:paraId="4A76E19D" w14:textId="77777777" w:rsidR="005657D8" w:rsidRPr="00D52C48" w:rsidRDefault="005657D8" w:rsidP="00EE4C8C">
            <w:pPr>
              <w:spacing w:before="0" w:line="240" w:lineRule="auto"/>
              <w:jc w:val="center"/>
              <w:rPr>
                <w:rFonts w:asciiTheme="minorHAnsi" w:hAnsiTheme="minorHAnsi"/>
                <w:b/>
                <w:szCs w:val="22"/>
              </w:rPr>
            </w:pPr>
            <w:r w:rsidRPr="00D52C48">
              <w:rPr>
                <w:rFonts w:asciiTheme="minorHAnsi" w:hAnsiTheme="minorHAnsi"/>
                <w:b/>
                <w:szCs w:val="22"/>
              </w:rPr>
              <w:t>Nazwa wskaźnika produktu</w:t>
            </w:r>
          </w:p>
        </w:tc>
        <w:tc>
          <w:tcPr>
            <w:tcW w:w="526" w:type="pct"/>
            <w:vAlign w:val="center"/>
          </w:tcPr>
          <w:p w14:paraId="4DBA14A8" w14:textId="77777777" w:rsidR="005657D8" w:rsidRPr="00D52C48" w:rsidRDefault="005657D8" w:rsidP="00EE4C8C">
            <w:pPr>
              <w:suppressAutoHyphens/>
              <w:spacing w:before="0" w:line="240" w:lineRule="auto"/>
              <w:jc w:val="center"/>
              <w:rPr>
                <w:rFonts w:asciiTheme="minorHAnsi" w:hAnsiTheme="minorHAnsi"/>
                <w:b/>
                <w:bCs/>
                <w:szCs w:val="22"/>
              </w:rPr>
            </w:pPr>
            <w:r w:rsidRPr="00D52C48">
              <w:rPr>
                <w:rFonts w:asciiTheme="minorHAnsi" w:hAnsiTheme="minorHAnsi"/>
                <w:b/>
                <w:bCs/>
                <w:szCs w:val="22"/>
              </w:rPr>
              <w:t>Jednostka miary</w:t>
            </w:r>
          </w:p>
        </w:tc>
        <w:tc>
          <w:tcPr>
            <w:tcW w:w="2435" w:type="pct"/>
            <w:shd w:val="clear" w:color="auto" w:fill="auto"/>
            <w:vAlign w:val="center"/>
          </w:tcPr>
          <w:p w14:paraId="76B75BF3" w14:textId="77777777" w:rsidR="005657D8" w:rsidRPr="00D52C48" w:rsidRDefault="005657D8" w:rsidP="00EE4C8C">
            <w:pPr>
              <w:suppressAutoHyphens/>
              <w:spacing w:before="0" w:line="240" w:lineRule="auto"/>
              <w:jc w:val="center"/>
              <w:rPr>
                <w:rFonts w:asciiTheme="minorHAnsi" w:hAnsiTheme="minorHAnsi"/>
                <w:b/>
                <w:szCs w:val="22"/>
              </w:rPr>
            </w:pPr>
            <w:r w:rsidRPr="00D52C48">
              <w:rPr>
                <w:rFonts w:asciiTheme="minorHAnsi" w:hAnsiTheme="minorHAnsi"/>
                <w:b/>
                <w:bCs/>
                <w:szCs w:val="22"/>
              </w:rPr>
              <w:t>Definicja wskaźnika</w:t>
            </w:r>
          </w:p>
        </w:tc>
        <w:tc>
          <w:tcPr>
            <w:tcW w:w="876" w:type="pct"/>
            <w:vAlign w:val="center"/>
          </w:tcPr>
          <w:p w14:paraId="734F8132" w14:textId="77777777" w:rsidR="005657D8" w:rsidRPr="00D52C48" w:rsidRDefault="005657D8" w:rsidP="00EE4C8C">
            <w:pPr>
              <w:suppressAutoHyphens/>
              <w:spacing w:before="0" w:line="240" w:lineRule="auto"/>
              <w:jc w:val="center"/>
              <w:rPr>
                <w:rFonts w:asciiTheme="minorHAnsi" w:hAnsiTheme="minorHAnsi"/>
                <w:b/>
                <w:bCs/>
                <w:szCs w:val="22"/>
              </w:rPr>
            </w:pPr>
            <w:r w:rsidRPr="00D52C48">
              <w:rPr>
                <w:rFonts w:asciiTheme="minorHAnsi" w:hAnsiTheme="minorHAnsi"/>
                <w:b/>
                <w:bCs/>
                <w:szCs w:val="22"/>
              </w:rPr>
              <w:t>Rodzaj dokumentu, w</w:t>
            </w:r>
            <w:r w:rsidR="007E025A" w:rsidRPr="00D52C48">
              <w:rPr>
                <w:rFonts w:asciiTheme="minorHAnsi" w:hAnsiTheme="minorHAnsi"/>
                <w:b/>
                <w:bCs/>
                <w:szCs w:val="22"/>
              </w:rPr>
              <w:t> </w:t>
            </w:r>
            <w:r w:rsidRPr="00D52C48">
              <w:rPr>
                <w:rFonts w:asciiTheme="minorHAnsi" w:hAnsiTheme="minorHAnsi"/>
                <w:b/>
                <w:bCs/>
                <w:szCs w:val="22"/>
              </w:rPr>
              <w:t>którym określono wskaźnik</w:t>
            </w:r>
          </w:p>
        </w:tc>
      </w:tr>
      <w:tr w:rsidR="000278EA" w:rsidRPr="000278EA" w14:paraId="07FC314A" w14:textId="77777777" w:rsidTr="007B5608">
        <w:trPr>
          <w:cantSplit/>
          <w:trHeight w:val="20"/>
          <w:jc w:val="center"/>
        </w:trPr>
        <w:tc>
          <w:tcPr>
            <w:tcW w:w="1163" w:type="pct"/>
            <w:shd w:val="clear" w:color="auto" w:fill="auto"/>
            <w:vAlign w:val="center"/>
          </w:tcPr>
          <w:p w14:paraId="7320323A" w14:textId="5E2782F1" w:rsidR="000278EA" w:rsidRPr="000278EA" w:rsidRDefault="000278EA" w:rsidP="00EE4C8C">
            <w:pPr>
              <w:spacing w:before="0" w:line="240" w:lineRule="auto"/>
              <w:jc w:val="center"/>
              <w:rPr>
                <w:rFonts w:asciiTheme="minorHAnsi" w:hAnsiTheme="minorHAnsi"/>
                <w:szCs w:val="22"/>
              </w:rPr>
            </w:pPr>
            <w:r w:rsidRPr="000278EA">
              <w:rPr>
                <w:rFonts w:asciiTheme="minorHAnsi" w:hAnsiTheme="minorHAnsi"/>
                <w:szCs w:val="22"/>
              </w:rPr>
              <w:t>Powierzchnia</w:t>
            </w:r>
            <w:r>
              <w:rPr>
                <w:rFonts w:asciiTheme="minorHAnsi" w:hAnsiTheme="minorHAnsi"/>
                <w:szCs w:val="22"/>
              </w:rPr>
              <w:t xml:space="preserve"> użytkowa budynków poddanych termomodernizacji</w:t>
            </w:r>
            <w:r w:rsidRPr="000278EA">
              <w:rPr>
                <w:rFonts w:asciiTheme="minorHAnsi" w:hAnsiTheme="minorHAnsi"/>
                <w:szCs w:val="22"/>
              </w:rPr>
              <w:t xml:space="preserve"> </w:t>
            </w:r>
          </w:p>
        </w:tc>
        <w:tc>
          <w:tcPr>
            <w:tcW w:w="526" w:type="pct"/>
            <w:vAlign w:val="center"/>
          </w:tcPr>
          <w:p w14:paraId="3533D6A1" w14:textId="7F081380" w:rsidR="000278EA" w:rsidRPr="000278EA" w:rsidRDefault="00C55D7D" w:rsidP="00EE4C8C">
            <w:pPr>
              <w:suppressAutoHyphens/>
              <w:spacing w:before="0" w:line="240" w:lineRule="auto"/>
              <w:jc w:val="center"/>
              <w:rPr>
                <w:rFonts w:asciiTheme="minorHAnsi" w:hAnsiTheme="minorHAnsi"/>
                <w:bCs/>
                <w:szCs w:val="22"/>
              </w:rPr>
            </w:pPr>
            <w:r>
              <w:rPr>
                <w:rFonts w:asciiTheme="minorHAnsi" w:hAnsiTheme="minorHAnsi"/>
                <w:bCs/>
                <w:szCs w:val="22"/>
              </w:rPr>
              <w:t>[</w:t>
            </w:r>
            <w:r w:rsidR="000278EA">
              <w:rPr>
                <w:rFonts w:asciiTheme="minorHAnsi" w:hAnsiTheme="minorHAnsi"/>
                <w:bCs/>
                <w:szCs w:val="22"/>
              </w:rPr>
              <w:t>m2</w:t>
            </w:r>
            <w:r>
              <w:rPr>
                <w:rFonts w:asciiTheme="minorHAnsi" w:hAnsiTheme="minorHAnsi"/>
                <w:bCs/>
                <w:szCs w:val="22"/>
              </w:rPr>
              <w:t>]</w:t>
            </w:r>
          </w:p>
        </w:tc>
        <w:tc>
          <w:tcPr>
            <w:tcW w:w="2435" w:type="pct"/>
            <w:shd w:val="clear" w:color="auto" w:fill="auto"/>
            <w:vAlign w:val="center"/>
          </w:tcPr>
          <w:p w14:paraId="5C615639" w14:textId="77777777" w:rsidR="00C55D7D" w:rsidRPr="00C55D7D" w:rsidRDefault="00C55D7D" w:rsidP="00C55D7D">
            <w:pPr>
              <w:suppressAutoHyphens/>
              <w:spacing w:before="0" w:line="240" w:lineRule="auto"/>
              <w:jc w:val="both"/>
              <w:rPr>
                <w:rFonts w:asciiTheme="minorHAnsi" w:hAnsiTheme="minorHAnsi"/>
                <w:bCs/>
                <w:szCs w:val="22"/>
              </w:rPr>
            </w:pPr>
            <w:r w:rsidRPr="00C55D7D">
              <w:rPr>
                <w:rFonts w:asciiTheme="minorHAnsi" w:hAnsiTheme="minorHAnsi"/>
                <w:bCs/>
                <w:szCs w:val="22"/>
              </w:rPr>
              <w:t>Ilość m2 powierzchni użytkowej poddanej termomodernizacji, gdzie termomodernizacja definiowana jest jako przedsięwzięcia służące poprawie efektywności energetycznej, zgodnie z zapisami:</w:t>
            </w:r>
          </w:p>
          <w:p w14:paraId="1D35AF5D" w14:textId="77777777" w:rsidR="00C55D7D" w:rsidRPr="00C55D7D" w:rsidRDefault="00C55D7D" w:rsidP="00C55D7D">
            <w:pPr>
              <w:numPr>
                <w:ilvl w:val="0"/>
                <w:numId w:val="12"/>
              </w:numPr>
              <w:suppressAutoHyphens/>
              <w:spacing w:before="0" w:line="240" w:lineRule="auto"/>
              <w:jc w:val="both"/>
              <w:rPr>
                <w:rFonts w:asciiTheme="minorHAnsi" w:hAnsiTheme="minorHAnsi"/>
                <w:bCs/>
                <w:szCs w:val="22"/>
              </w:rPr>
            </w:pPr>
            <w:r w:rsidRPr="00C55D7D">
              <w:rPr>
                <w:rFonts w:asciiTheme="minorHAnsi" w:hAnsiTheme="minorHAnsi"/>
                <w:bCs/>
                <w:szCs w:val="22"/>
              </w:rPr>
              <w:t>Ustawy z dnia 15 kwietnia 2011 r. o efektywności energetycznej;</w:t>
            </w:r>
          </w:p>
          <w:p w14:paraId="2F95476C" w14:textId="77777777" w:rsidR="00C55D7D" w:rsidRPr="00C55D7D" w:rsidRDefault="00C55D7D" w:rsidP="00C55D7D">
            <w:pPr>
              <w:numPr>
                <w:ilvl w:val="0"/>
                <w:numId w:val="12"/>
              </w:numPr>
              <w:suppressAutoHyphens/>
              <w:spacing w:before="0" w:line="240" w:lineRule="auto"/>
              <w:jc w:val="both"/>
              <w:rPr>
                <w:rFonts w:asciiTheme="minorHAnsi" w:hAnsiTheme="minorHAnsi"/>
                <w:bCs/>
                <w:szCs w:val="22"/>
              </w:rPr>
            </w:pPr>
            <w:r w:rsidRPr="00C55D7D">
              <w:rPr>
                <w:rFonts w:asciiTheme="minorHAnsi" w:hAnsiTheme="minorHAnsi"/>
                <w:bCs/>
                <w:szCs w:val="22"/>
              </w:rPr>
              <w:t>Obwieszczenia Ministra Gospodarki z dnia 21 grudnia 2012 r. w sprawie szczegółowego wykazu przedsięwzięć służących poprawie efektywności energetycznej;</w:t>
            </w:r>
          </w:p>
          <w:p w14:paraId="20BDA632" w14:textId="0CE1BC66" w:rsidR="000278EA" w:rsidRPr="000278EA" w:rsidRDefault="00C55D7D" w:rsidP="00C55D7D">
            <w:pPr>
              <w:suppressAutoHyphens/>
              <w:spacing w:before="0" w:line="240" w:lineRule="auto"/>
              <w:jc w:val="both"/>
              <w:rPr>
                <w:rFonts w:asciiTheme="minorHAnsi" w:hAnsiTheme="minorHAnsi"/>
                <w:bCs/>
                <w:szCs w:val="22"/>
              </w:rPr>
            </w:pPr>
            <w:r w:rsidRPr="00C55D7D">
              <w:rPr>
                <w:rFonts w:asciiTheme="minorHAnsi" w:hAnsiTheme="minorHAnsi"/>
                <w:bCs/>
                <w:szCs w:val="22"/>
              </w:rPr>
              <w:t>Ustawy z dnia 21 listopada 2008 r. o wspieraniu termomodernizacji i remontów.</w:t>
            </w:r>
          </w:p>
        </w:tc>
        <w:tc>
          <w:tcPr>
            <w:tcW w:w="876" w:type="pct"/>
            <w:vAlign w:val="center"/>
          </w:tcPr>
          <w:p w14:paraId="060EFC45" w14:textId="77777777" w:rsidR="000278EA" w:rsidRDefault="000278EA" w:rsidP="00EE4C8C">
            <w:pPr>
              <w:suppressAutoHyphens/>
              <w:spacing w:before="0" w:line="240" w:lineRule="auto"/>
              <w:jc w:val="center"/>
              <w:rPr>
                <w:rFonts w:asciiTheme="minorHAnsi" w:hAnsiTheme="minorHAnsi"/>
                <w:bCs/>
                <w:szCs w:val="22"/>
              </w:rPr>
            </w:pPr>
            <w:r>
              <w:rPr>
                <w:rFonts w:asciiTheme="minorHAnsi" w:hAnsiTheme="minorHAnsi"/>
                <w:bCs/>
                <w:szCs w:val="22"/>
              </w:rPr>
              <w:t>RPO WD</w:t>
            </w:r>
          </w:p>
          <w:p w14:paraId="269D9F7C" w14:textId="07F08443" w:rsidR="00C55D7D" w:rsidRPr="000278EA" w:rsidRDefault="00C55D7D" w:rsidP="00EE4C8C">
            <w:pPr>
              <w:suppressAutoHyphens/>
              <w:spacing w:before="0" w:line="240" w:lineRule="auto"/>
              <w:jc w:val="center"/>
              <w:rPr>
                <w:rFonts w:asciiTheme="minorHAnsi" w:hAnsiTheme="minorHAnsi"/>
                <w:bCs/>
                <w:szCs w:val="22"/>
              </w:rPr>
            </w:pPr>
            <w:r w:rsidRPr="009313DB">
              <w:rPr>
                <w:rFonts w:asciiTheme="minorHAnsi" w:hAnsiTheme="minorHAnsi"/>
                <w:szCs w:val="22"/>
              </w:rPr>
              <w:t>2014-2020</w:t>
            </w:r>
          </w:p>
        </w:tc>
      </w:tr>
      <w:tr w:rsidR="000278EA" w:rsidRPr="000278EA" w14:paraId="374402CD" w14:textId="77777777" w:rsidTr="007B5608">
        <w:trPr>
          <w:cantSplit/>
          <w:trHeight w:val="20"/>
          <w:jc w:val="center"/>
        </w:trPr>
        <w:tc>
          <w:tcPr>
            <w:tcW w:w="1163" w:type="pct"/>
            <w:shd w:val="clear" w:color="auto" w:fill="auto"/>
            <w:vAlign w:val="center"/>
          </w:tcPr>
          <w:p w14:paraId="693A8823" w14:textId="472C3E00" w:rsidR="000278EA" w:rsidRPr="000278EA" w:rsidRDefault="000278EA" w:rsidP="00EE4C8C">
            <w:pPr>
              <w:spacing w:before="0" w:line="240" w:lineRule="auto"/>
              <w:jc w:val="center"/>
              <w:rPr>
                <w:rFonts w:asciiTheme="minorHAnsi" w:hAnsiTheme="minorHAnsi"/>
                <w:szCs w:val="22"/>
              </w:rPr>
            </w:pPr>
            <w:r>
              <w:rPr>
                <w:rFonts w:asciiTheme="minorHAnsi" w:hAnsiTheme="minorHAnsi"/>
                <w:szCs w:val="22"/>
              </w:rPr>
              <w:t xml:space="preserve">Liczba zmodernizowanych energetycznie budynków </w:t>
            </w:r>
          </w:p>
        </w:tc>
        <w:tc>
          <w:tcPr>
            <w:tcW w:w="526" w:type="pct"/>
            <w:vAlign w:val="center"/>
          </w:tcPr>
          <w:p w14:paraId="05859FBA" w14:textId="5E26BEAC" w:rsidR="000278EA" w:rsidRDefault="00C55D7D" w:rsidP="00EE4C8C">
            <w:pPr>
              <w:suppressAutoHyphens/>
              <w:spacing w:before="0" w:line="240" w:lineRule="auto"/>
              <w:jc w:val="center"/>
              <w:rPr>
                <w:rFonts w:asciiTheme="minorHAnsi" w:hAnsiTheme="minorHAnsi"/>
                <w:bCs/>
                <w:szCs w:val="22"/>
              </w:rPr>
            </w:pPr>
            <w:r w:rsidRPr="00D52C48">
              <w:rPr>
                <w:rFonts w:asciiTheme="minorHAnsi" w:hAnsiTheme="minorHAnsi" w:cs="ArialNarrow"/>
                <w:color w:val="000000" w:themeColor="text1"/>
                <w:szCs w:val="22"/>
              </w:rPr>
              <w:t>[szt.]</w:t>
            </w:r>
          </w:p>
        </w:tc>
        <w:tc>
          <w:tcPr>
            <w:tcW w:w="2435" w:type="pct"/>
            <w:shd w:val="clear" w:color="auto" w:fill="auto"/>
            <w:vAlign w:val="center"/>
          </w:tcPr>
          <w:p w14:paraId="25A9023A" w14:textId="77777777" w:rsidR="00C55D7D" w:rsidRPr="002F7385" w:rsidRDefault="00C55D7D" w:rsidP="00C55D7D">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Wskaźnik mierzy liczbę zmodernizowanych energetycznie budynków w wyniku realizacji projektu.</w:t>
            </w:r>
          </w:p>
          <w:p w14:paraId="5FC73061" w14:textId="77777777" w:rsidR="00C55D7D" w:rsidRPr="002F7385" w:rsidRDefault="00C55D7D" w:rsidP="00C55D7D">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Modernizacja – obejmuje przebudowę, remont oraz rozbudowę budynków w celu dokonania modernizacji urządzeń energetycznych.</w:t>
            </w:r>
          </w:p>
          <w:p w14:paraId="7797D3C0" w14:textId="77777777" w:rsidR="00C55D7D" w:rsidRPr="002F7385" w:rsidRDefault="00C55D7D" w:rsidP="00C55D7D">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 xml:space="preserve">Przebudowa –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t>
            </w:r>
          </w:p>
          <w:p w14:paraId="16A356C7" w14:textId="77777777" w:rsidR="00C55D7D" w:rsidRPr="002F7385" w:rsidRDefault="00C55D7D" w:rsidP="00C55D7D">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 xml:space="preserve">Remont – wykonywanie w istniejącym obiekcie budowlanym robót budowlanych polegających </w:t>
            </w:r>
          </w:p>
          <w:p w14:paraId="1344C4AC" w14:textId="77777777" w:rsidR="00C55D7D" w:rsidRPr="002F7385" w:rsidRDefault="00C55D7D" w:rsidP="00C55D7D">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 xml:space="preserve">na odtworzeniu stanu pierwotnego, a niestanowiących bieżącej konserwacji, przy czym dopuszcza się stosowanie wyrobów budowlanych innych niż użyto w stanie pierwotnym. </w:t>
            </w:r>
          </w:p>
          <w:p w14:paraId="724D6375" w14:textId="5039ACB0" w:rsidR="000278EA" w:rsidRPr="000278EA" w:rsidRDefault="00C55D7D" w:rsidP="00C55D7D">
            <w:pPr>
              <w:suppressAutoHyphens/>
              <w:spacing w:before="0" w:line="240" w:lineRule="auto"/>
              <w:jc w:val="both"/>
              <w:rPr>
                <w:rFonts w:asciiTheme="minorHAnsi" w:hAnsiTheme="minorHAnsi"/>
                <w:bCs/>
                <w:szCs w:val="22"/>
              </w:rPr>
            </w:pPr>
            <w:r w:rsidRPr="002F7385">
              <w:rPr>
                <w:rFonts w:asciiTheme="minorHAnsi" w:hAnsiTheme="minorHAnsi"/>
                <w:szCs w:val="22"/>
              </w:rPr>
              <w:t>Rozbudowa – w budownictwie rodzaj budowy, w wyniku którego powstaje nowa część istniejącego już obiektu budowlanego.</w:t>
            </w:r>
          </w:p>
        </w:tc>
        <w:tc>
          <w:tcPr>
            <w:tcW w:w="876" w:type="pct"/>
            <w:vAlign w:val="center"/>
          </w:tcPr>
          <w:p w14:paraId="1DED64E2" w14:textId="2D7B0143" w:rsidR="000278EA" w:rsidRDefault="00C55D7D" w:rsidP="00EE4C8C">
            <w:pPr>
              <w:suppressAutoHyphens/>
              <w:spacing w:before="0" w:line="240" w:lineRule="auto"/>
              <w:jc w:val="center"/>
              <w:rPr>
                <w:rFonts w:asciiTheme="minorHAnsi" w:hAnsiTheme="minorHAnsi"/>
                <w:bCs/>
                <w:szCs w:val="22"/>
              </w:rPr>
            </w:pPr>
            <w:r w:rsidRPr="00D52C48">
              <w:rPr>
                <w:rFonts w:asciiTheme="minorHAnsi" w:hAnsiTheme="minorHAnsi"/>
                <w:szCs w:val="22"/>
              </w:rPr>
              <w:t>SZOOP RPO  WD 2014-2020</w:t>
            </w:r>
          </w:p>
        </w:tc>
      </w:tr>
      <w:tr w:rsidR="000278EA" w:rsidRPr="000278EA" w14:paraId="10315D33" w14:textId="77777777" w:rsidTr="007B5608">
        <w:trPr>
          <w:cantSplit/>
          <w:trHeight w:val="20"/>
          <w:jc w:val="center"/>
        </w:trPr>
        <w:tc>
          <w:tcPr>
            <w:tcW w:w="1163" w:type="pct"/>
            <w:shd w:val="clear" w:color="auto" w:fill="auto"/>
            <w:vAlign w:val="center"/>
          </w:tcPr>
          <w:p w14:paraId="01590E0F" w14:textId="3D33B6A5" w:rsidR="000278EA" w:rsidRDefault="000278EA" w:rsidP="00EE4C8C">
            <w:pPr>
              <w:spacing w:before="0" w:line="240" w:lineRule="auto"/>
              <w:jc w:val="center"/>
              <w:rPr>
                <w:rFonts w:asciiTheme="minorHAnsi" w:hAnsiTheme="minorHAnsi"/>
                <w:szCs w:val="22"/>
              </w:rPr>
            </w:pPr>
            <w:r w:rsidRPr="000278EA">
              <w:rPr>
                <w:rFonts w:asciiTheme="minorHAnsi" w:hAnsiTheme="minorHAnsi"/>
                <w:szCs w:val="22"/>
              </w:rPr>
              <w:lastRenderedPageBreak/>
              <w:t>Liczba wybudowanych budynków z uwzględnieniem standardów budownictwa pasywnego</w:t>
            </w:r>
          </w:p>
        </w:tc>
        <w:tc>
          <w:tcPr>
            <w:tcW w:w="526" w:type="pct"/>
            <w:vAlign w:val="center"/>
          </w:tcPr>
          <w:p w14:paraId="507CF777" w14:textId="17128623" w:rsidR="000278EA" w:rsidRPr="00612864" w:rsidRDefault="00C55D7D" w:rsidP="00EE4C8C">
            <w:pPr>
              <w:suppressAutoHyphens/>
              <w:spacing w:before="0" w:line="240" w:lineRule="auto"/>
              <w:jc w:val="center"/>
              <w:rPr>
                <w:sz w:val="20"/>
              </w:rPr>
            </w:pPr>
            <w:r w:rsidRPr="00D52C48">
              <w:rPr>
                <w:rFonts w:asciiTheme="minorHAnsi" w:hAnsiTheme="minorHAnsi" w:cs="ArialNarrow"/>
                <w:color w:val="000000" w:themeColor="text1"/>
                <w:szCs w:val="22"/>
              </w:rPr>
              <w:t>[szt.]</w:t>
            </w:r>
          </w:p>
        </w:tc>
        <w:tc>
          <w:tcPr>
            <w:tcW w:w="2435" w:type="pct"/>
            <w:shd w:val="clear" w:color="auto" w:fill="auto"/>
            <w:vAlign w:val="center"/>
          </w:tcPr>
          <w:p w14:paraId="700BC1B5" w14:textId="77777777" w:rsidR="00C55D7D" w:rsidRPr="000D3292" w:rsidRDefault="00C55D7D" w:rsidP="00C55D7D">
            <w:pPr>
              <w:autoSpaceDE w:val="0"/>
              <w:autoSpaceDN w:val="0"/>
              <w:adjustRightInd w:val="0"/>
              <w:spacing w:before="0" w:line="240" w:lineRule="auto"/>
              <w:jc w:val="both"/>
              <w:rPr>
                <w:rFonts w:asciiTheme="minorHAnsi" w:hAnsiTheme="minorHAnsi"/>
                <w:szCs w:val="22"/>
              </w:rPr>
            </w:pPr>
            <w:r w:rsidRPr="000D3292">
              <w:rPr>
                <w:rFonts w:asciiTheme="minorHAnsi" w:hAnsiTheme="minorHAnsi"/>
                <w:szCs w:val="22"/>
              </w:rPr>
              <w:t xml:space="preserve">Wskaźnik mierzy liczbę budynków, które w wyniku realizacji projektu zostały wybudowane z uwzględnieniem standardów budownictwa pasywnego. </w:t>
            </w:r>
          </w:p>
          <w:p w14:paraId="0E133DA2" w14:textId="77777777" w:rsidR="00C55D7D" w:rsidRDefault="00C55D7D" w:rsidP="00C55D7D">
            <w:pPr>
              <w:autoSpaceDE w:val="0"/>
              <w:autoSpaceDN w:val="0"/>
              <w:adjustRightInd w:val="0"/>
              <w:spacing w:before="0" w:line="240" w:lineRule="auto"/>
              <w:jc w:val="both"/>
              <w:rPr>
                <w:rFonts w:asciiTheme="minorHAnsi" w:hAnsiTheme="minorHAnsi"/>
                <w:szCs w:val="22"/>
              </w:rPr>
            </w:pPr>
            <w:r w:rsidRPr="000D3292">
              <w:rPr>
                <w:rFonts w:asciiTheme="minorHAnsi" w:hAnsiTheme="minorHAnsi"/>
                <w:szCs w:val="22"/>
              </w:rPr>
              <w:t>Budynek pasywny – budynek o zapotrzebowaniu na energię do ogrzewania wnętrza nie większym niż 15 kWh energii na 1 m² powierzchni użytkowej rocznie, w którym komfort termiczny zapewniony jest przez pasywne źródła ciepła [promieniowanie słoneczne, grunt, urządzenia elektryczne, mieszkańcy]. Dodatkowe potrzeby cieplne realizowane są m.in. przez odzysk ciepła z powietrza zużytego i podgrzewanie powietrza wentylującego budynek. Ciepło nie jest doprowadzane autonomicznym, aktywnym systemem.</w:t>
            </w:r>
          </w:p>
          <w:p w14:paraId="652E7BE7" w14:textId="13303384" w:rsidR="000278EA" w:rsidRPr="000278EA" w:rsidRDefault="00C55D7D" w:rsidP="00C55D7D">
            <w:pPr>
              <w:suppressAutoHyphens/>
              <w:spacing w:before="0" w:line="240" w:lineRule="auto"/>
              <w:jc w:val="both"/>
              <w:rPr>
                <w:rFonts w:asciiTheme="minorHAnsi" w:hAnsiTheme="minorHAnsi"/>
                <w:bCs/>
                <w:szCs w:val="22"/>
              </w:rPr>
            </w:pPr>
            <w:r w:rsidRPr="00894773">
              <w:rPr>
                <w:rFonts w:asciiTheme="minorHAnsi" w:hAnsiTheme="minorHAnsi"/>
                <w:b/>
                <w:szCs w:val="22"/>
              </w:rPr>
              <w:t>Uwaga IZ RPO WD:</w:t>
            </w:r>
            <w:r>
              <w:rPr>
                <w:rFonts w:asciiTheme="minorHAnsi" w:hAnsiTheme="minorHAnsi"/>
                <w:b/>
                <w:szCs w:val="22"/>
              </w:rPr>
              <w:t xml:space="preserve"> </w:t>
            </w:r>
            <w:r>
              <w:rPr>
                <w:rFonts w:asciiTheme="minorHAnsi" w:hAnsiTheme="minorHAnsi"/>
                <w:szCs w:val="22"/>
              </w:rPr>
              <w:t>wskaźnik nie dotyczy wyłącznie budynków pasywnych – powinien być użyty w przypadku, gdy powstający budynek uwzględnia standardy charakterystyczne dla budynków pasywnych w zakresie np. zapotrzebowania na energię, izolacyjności przegród, zastosowanych materiałów i technologii.</w:t>
            </w:r>
          </w:p>
        </w:tc>
        <w:tc>
          <w:tcPr>
            <w:tcW w:w="876" w:type="pct"/>
            <w:vAlign w:val="center"/>
          </w:tcPr>
          <w:p w14:paraId="435432E5" w14:textId="350DA9FB" w:rsidR="000278EA" w:rsidRPr="00612864" w:rsidRDefault="00C55D7D" w:rsidP="00EE4C8C">
            <w:pPr>
              <w:suppressAutoHyphens/>
              <w:spacing w:before="0" w:line="240" w:lineRule="auto"/>
              <w:jc w:val="center"/>
              <w:rPr>
                <w:sz w:val="20"/>
              </w:rPr>
            </w:pPr>
            <w:r w:rsidRPr="00D52C48">
              <w:rPr>
                <w:rFonts w:asciiTheme="minorHAnsi" w:hAnsiTheme="minorHAnsi"/>
                <w:szCs w:val="22"/>
              </w:rPr>
              <w:t>SZOOP RPO  WD 2014-2020</w:t>
            </w:r>
          </w:p>
        </w:tc>
      </w:tr>
      <w:tr w:rsidR="000278EA" w:rsidRPr="000278EA" w14:paraId="61A142DA" w14:textId="77777777" w:rsidTr="007B5608">
        <w:trPr>
          <w:cantSplit/>
          <w:trHeight w:val="20"/>
          <w:jc w:val="center"/>
        </w:trPr>
        <w:tc>
          <w:tcPr>
            <w:tcW w:w="1163" w:type="pct"/>
            <w:shd w:val="clear" w:color="auto" w:fill="auto"/>
            <w:vAlign w:val="center"/>
          </w:tcPr>
          <w:p w14:paraId="6992A6DD" w14:textId="17985503" w:rsidR="000278EA" w:rsidRPr="000278EA" w:rsidRDefault="000278EA" w:rsidP="00EE4C8C">
            <w:pPr>
              <w:spacing w:before="0" w:line="240" w:lineRule="auto"/>
              <w:jc w:val="center"/>
              <w:rPr>
                <w:rFonts w:asciiTheme="minorHAnsi" w:hAnsiTheme="minorHAnsi"/>
                <w:szCs w:val="22"/>
              </w:rPr>
            </w:pPr>
            <w:r w:rsidRPr="000278EA">
              <w:rPr>
                <w:rFonts w:asciiTheme="minorHAnsi" w:hAnsiTheme="minorHAnsi"/>
                <w:szCs w:val="22"/>
              </w:rPr>
              <w:t>Liczba przebudowanych budynków z uwzględnieniem standardów budownictwa pasywnego</w:t>
            </w:r>
          </w:p>
        </w:tc>
        <w:tc>
          <w:tcPr>
            <w:tcW w:w="526" w:type="pct"/>
            <w:vAlign w:val="center"/>
          </w:tcPr>
          <w:p w14:paraId="3A186CCA" w14:textId="35E3DD25" w:rsidR="000278EA" w:rsidRPr="00612864" w:rsidRDefault="00C55D7D" w:rsidP="00EE4C8C">
            <w:pPr>
              <w:suppressAutoHyphens/>
              <w:spacing w:before="0" w:line="240" w:lineRule="auto"/>
              <w:jc w:val="center"/>
              <w:rPr>
                <w:sz w:val="20"/>
              </w:rPr>
            </w:pPr>
            <w:r w:rsidRPr="00D52C48">
              <w:rPr>
                <w:rFonts w:asciiTheme="minorHAnsi" w:hAnsiTheme="minorHAnsi" w:cs="ArialNarrow"/>
                <w:color w:val="000000" w:themeColor="text1"/>
                <w:szCs w:val="22"/>
              </w:rPr>
              <w:t>[szt.]</w:t>
            </w:r>
          </w:p>
        </w:tc>
        <w:tc>
          <w:tcPr>
            <w:tcW w:w="2435" w:type="pct"/>
            <w:shd w:val="clear" w:color="auto" w:fill="auto"/>
            <w:vAlign w:val="center"/>
          </w:tcPr>
          <w:p w14:paraId="1AA9FB62" w14:textId="77777777" w:rsidR="00C55D7D" w:rsidRPr="000D3292" w:rsidRDefault="00C55D7D" w:rsidP="00C55D7D">
            <w:pPr>
              <w:autoSpaceDE w:val="0"/>
              <w:autoSpaceDN w:val="0"/>
              <w:adjustRightInd w:val="0"/>
              <w:spacing w:before="0" w:line="240" w:lineRule="auto"/>
              <w:jc w:val="both"/>
              <w:rPr>
                <w:rFonts w:asciiTheme="minorHAnsi" w:hAnsiTheme="minorHAnsi"/>
                <w:szCs w:val="22"/>
              </w:rPr>
            </w:pPr>
            <w:r w:rsidRPr="000D3292">
              <w:rPr>
                <w:rFonts w:asciiTheme="minorHAnsi" w:hAnsiTheme="minorHAnsi"/>
                <w:szCs w:val="22"/>
              </w:rPr>
              <w:t>Wskaźnik mierzy liczbę budynków, które w wynik</w:t>
            </w:r>
            <w:r>
              <w:rPr>
                <w:rFonts w:asciiTheme="minorHAnsi" w:hAnsiTheme="minorHAnsi"/>
                <w:szCs w:val="22"/>
              </w:rPr>
              <w:t>u realizacji projektu zostały prze</w:t>
            </w:r>
            <w:r w:rsidRPr="000D3292">
              <w:rPr>
                <w:rFonts w:asciiTheme="minorHAnsi" w:hAnsiTheme="minorHAnsi"/>
                <w:szCs w:val="22"/>
              </w:rPr>
              <w:t xml:space="preserve">budowane z uwzględnieniem standardów budownictwa pasywnego. </w:t>
            </w:r>
          </w:p>
          <w:p w14:paraId="061D9D9F" w14:textId="77777777" w:rsidR="00C55D7D" w:rsidRDefault="00C55D7D" w:rsidP="00C55D7D">
            <w:pPr>
              <w:autoSpaceDE w:val="0"/>
              <w:autoSpaceDN w:val="0"/>
              <w:adjustRightInd w:val="0"/>
              <w:spacing w:before="0" w:line="240" w:lineRule="auto"/>
              <w:jc w:val="both"/>
              <w:rPr>
                <w:rFonts w:asciiTheme="minorHAnsi" w:hAnsiTheme="minorHAnsi"/>
                <w:szCs w:val="22"/>
              </w:rPr>
            </w:pPr>
            <w:r w:rsidRPr="000D3292">
              <w:rPr>
                <w:rFonts w:asciiTheme="minorHAnsi" w:hAnsiTheme="minorHAnsi"/>
                <w:szCs w:val="22"/>
              </w:rPr>
              <w:t>Budynek pasywny – budynek o zapotrzebowaniu na energię do ogrzewania wnętrza nie większym niż 15 kWh energii na 1 m² powierzchni użytkowej rocznie, w którym komfort termiczny zapewniony jest przez pasywne źródła ciepła [promieniowanie słoneczne, grunt, urządzenia elektryczne, mieszkańcy]. Dodatkowe potrzeby cieplne realizowane są m.in. przez odzysk ciepła z powietrza zużytego i podgrzewanie powietrza wentylującego budynek. Ciepło nie jest doprowadzane autonomicznym, aktywnym systemem.</w:t>
            </w:r>
          </w:p>
          <w:p w14:paraId="56124890" w14:textId="39348706" w:rsidR="000278EA" w:rsidRPr="000278EA" w:rsidRDefault="00C55D7D" w:rsidP="00C55D7D">
            <w:pPr>
              <w:suppressAutoHyphens/>
              <w:spacing w:before="0" w:line="240" w:lineRule="auto"/>
              <w:jc w:val="both"/>
              <w:rPr>
                <w:rFonts w:asciiTheme="minorHAnsi" w:hAnsiTheme="minorHAnsi"/>
                <w:bCs/>
                <w:szCs w:val="22"/>
              </w:rPr>
            </w:pPr>
            <w:r w:rsidRPr="00894773">
              <w:rPr>
                <w:rFonts w:asciiTheme="minorHAnsi" w:hAnsiTheme="minorHAnsi"/>
                <w:b/>
                <w:szCs w:val="22"/>
              </w:rPr>
              <w:t>Uwaga IZ RPO WD:</w:t>
            </w:r>
            <w:r>
              <w:rPr>
                <w:rFonts w:asciiTheme="minorHAnsi" w:hAnsiTheme="minorHAnsi"/>
                <w:b/>
                <w:szCs w:val="22"/>
              </w:rPr>
              <w:t xml:space="preserve"> </w:t>
            </w:r>
            <w:r>
              <w:rPr>
                <w:rFonts w:asciiTheme="minorHAnsi" w:hAnsiTheme="minorHAnsi"/>
                <w:szCs w:val="22"/>
              </w:rPr>
              <w:t>wskaźnik nie dotyczy wyłącznie budynków pasywnych – powinien być użyty w przypadku, gdy powstający budynek uwzględnia standardy charakterystyczne dla budynków pasywnych w zakresie np. zapotrzebowania na energię, izolacyjności przegród, zastosowanych materiałów i technologii.</w:t>
            </w:r>
          </w:p>
        </w:tc>
        <w:tc>
          <w:tcPr>
            <w:tcW w:w="876" w:type="pct"/>
            <w:vAlign w:val="center"/>
          </w:tcPr>
          <w:p w14:paraId="1676AB95" w14:textId="291F211D" w:rsidR="000278EA" w:rsidRPr="00612864" w:rsidRDefault="00C55D7D" w:rsidP="00EE4C8C">
            <w:pPr>
              <w:suppressAutoHyphens/>
              <w:spacing w:before="0" w:line="240" w:lineRule="auto"/>
              <w:jc w:val="center"/>
              <w:rPr>
                <w:sz w:val="20"/>
              </w:rPr>
            </w:pPr>
            <w:r w:rsidRPr="00D52C48">
              <w:rPr>
                <w:rFonts w:asciiTheme="minorHAnsi" w:hAnsiTheme="minorHAnsi"/>
                <w:szCs w:val="22"/>
              </w:rPr>
              <w:t>SZOOP RPO  WD 2014-2020</w:t>
            </w:r>
          </w:p>
        </w:tc>
      </w:tr>
      <w:tr w:rsidR="000278EA" w:rsidRPr="000278EA" w14:paraId="49F591DE" w14:textId="77777777" w:rsidTr="007B5608">
        <w:trPr>
          <w:cantSplit/>
          <w:trHeight w:val="20"/>
          <w:jc w:val="center"/>
        </w:trPr>
        <w:tc>
          <w:tcPr>
            <w:tcW w:w="1163" w:type="pct"/>
            <w:shd w:val="clear" w:color="auto" w:fill="auto"/>
            <w:vAlign w:val="center"/>
          </w:tcPr>
          <w:p w14:paraId="524B8686" w14:textId="7154DD7E" w:rsidR="000278EA" w:rsidRPr="000278EA" w:rsidRDefault="000278EA" w:rsidP="00EE4C8C">
            <w:pPr>
              <w:spacing w:before="0" w:line="240" w:lineRule="auto"/>
              <w:jc w:val="center"/>
              <w:rPr>
                <w:rFonts w:asciiTheme="minorHAnsi" w:hAnsiTheme="minorHAnsi"/>
                <w:szCs w:val="22"/>
              </w:rPr>
            </w:pPr>
            <w:r w:rsidRPr="000278EA">
              <w:rPr>
                <w:rFonts w:asciiTheme="minorHAnsi" w:hAnsiTheme="minorHAnsi"/>
                <w:szCs w:val="22"/>
              </w:rPr>
              <w:t>Liczba zmodernizowanych źródeł ciepła</w:t>
            </w:r>
          </w:p>
        </w:tc>
        <w:tc>
          <w:tcPr>
            <w:tcW w:w="526" w:type="pct"/>
            <w:vAlign w:val="center"/>
          </w:tcPr>
          <w:p w14:paraId="3674B40C" w14:textId="69AA544D" w:rsidR="000278EA" w:rsidRPr="00612864" w:rsidRDefault="00C52AD1" w:rsidP="00EE4C8C">
            <w:pPr>
              <w:suppressAutoHyphens/>
              <w:spacing w:before="0" w:line="240" w:lineRule="auto"/>
              <w:jc w:val="center"/>
              <w:rPr>
                <w:sz w:val="20"/>
              </w:rPr>
            </w:pPr>
            <w:r w:rsidRPr="00D52C48">
              <w:rPr>
                <w:rFonts w:asciiTheme="minorHAnsi" w:hAnsiTheme="minorHAnsi" w:cs="ArialNarrow"/>
                <w:color w:val="000000" w:themeColor="text1"/>
                <w:szCs w:val="22"/>
              </w:rPr>
              <w:t>[szt.]</w:t>
            </w:r>
          </w:p>
        </w:tc>
        <w:tc>
          <w:tcPr>
            <w:tcW w:w="2435" w:type="pct"/>
            <w:shd w:val="clear" w:color="auto" w:fill="auto"/>
            <w:vAlign w:val="center"/>
          </w:tcPr>
          <w:p w14:paraId="362C0361" w14:textId="18F9261B" w:rsidR="000278EA" w:rsidRPr="000278EA" w:rsidRDefault="00C52AD1" w:rsidP="00C52AD1">
            <w:pPr>
              <w:suppressAutoHyphens/>
              <w:spacing w:before="0" w:line="240" w:lineRule="auto"/>
              <w:jc w:val="both"/>
              <w:rPr>
                <w:rFonts w:asciiTheme="minorHAnsi" w:hAnsiTheme="minorHAnsi"/>
                <w:bCs/>
                <w:szCs w:val="22"/>
              </w:rPr>
            </w:pPr>
            <w:r w:rsidRPr="00D52C48">
              <w:rPr>
                <w:rFonts w:asciiTheme="minorHAnsi" w:hAnsiTheme="minorHAnsi" w:cs="TimesNewRoman,Bold"/>
                <w:szCs w:val="22"/>
              </w:rPr>
              <w:t>Liczba zmodernizowanych w wyniku realizacji projektu źródeł ciepła.</w:t>
            </w:r>
          </w:p>
        </w:tc>
        <w:tc>
          <w:tcPr>
            <w:tcW w:w="876" w:type="pct"/>
            <w:vAlign w:val="center"/>
          </w:tcPr>
          <w:p w14:paraId="518A83F8" w14:textId="5F1EA4D8" w:rsidR="000278EA" w:rsidRPr="00612864" w:rsidRDefault="00C52AD1" w:rsidP="00EE4C8C">
            <w:pPr>
              <w:suppressAutoHyphens/>
              <w:spacing w:before="0" w:line="240" w:lineRule="auto"/>
              <w:jc w:val="center"/>
              <w:rPr>
                <w:sz w:val="20"/>
              </w:rPr>
            </w:pPr>
            <w:r w:rsidRPr="00D52C48">
              <w:rPr>
                <w:rFonts w:asciiTheme="minorHAnsi" w:hAnsiTheme="minorHAnsi"/>
                <w:szCs w:val="22"/>
              </w:rPr>
              <w:t>SZOOP RPO  WD 2014-2020</w:t>
            </w:r>
          </w:p>
        </w:tc>
      </w:tr>
      <w:tr w:rsidR="000278EA" w:rsidRPr="000278EA" w14:paraId="78DED8C8" w14:textId="77777777" w:rsidTr="007B5608">
        <w:trPr>
          <w:cantSplit/>
          <w:trHeight w:val="20"/>
          <w:jc w:val="center"/>
        </w:trPr>
        <w:tc>
          <w:tcPr>
            <w:tcW w:w="1163" w:type="pct"/>
            <w:shd w:val="clear" w:color="auto" w:fill="auto"/>
            <w:vAlign w:val="center"/>
          </w:tcPr>
          <w:p w14:paraId="065E34E8" w14:textId="034805E4" w:rsidR="000278EA" w:rsidRPr="000278EA" w:rsidRDefault="000278EA" w:rsidP="00EE4C8C">
            <w:pPr>
              <w:spacing w:before="0" w:line="240" w:lineRule="auto"/>
              <w:jc w:val="center"/>
              <w:rPr>
                <w:rFonts w:asciiTheme="minorHAnsi" w:hAnsiTheme="minorHAnsi"/>
                <w:szCs w:val="22"/>
              </w:rPr>
            </w:pPr>
            <w:r w:rsidRPr="000278EA">
              <w:rPr>
                <w:rFonts w:asciiTheme="minorHAnsi" w:hAnsiTheme="minorHAnsi"/>
                <w:szCs w:val="22"/>
              </w:rPr>
              <w:lastRenderedPageBreak/>
              <w:t>Liczba wybudowanych jednostek wytwarzania energii elektrycznej z OZE</w:t>
            </w:r>
          </w:p>
        </w:tc>
        <w:tc>
          <w:tcPr>
            <w:tcW w:w="526" w:type="pct"/>
            <w:vAlign w:val="center"/>
          </w:tcPr>
          <w:p w14:paraId="672050D1" w14:textId="46E6F7B5" w:rsidR="000278EA" w:rsidRPr="00612864" w:rsidRDefault="00C52AD1" w:rsidP="00EE4C8C">
            <w:pPr>
              <w:suppressAutoHyphens/>
              <w:spacing w:before="0" w:line="240" w:lineRule="auto"/>
              <w:jc w:val="center"/>
              <w:rPr>
                <w:sz w:val="20"/>
              </w:rPr>
            </w:pPr>
            <w:r w:rsidRPr="00D52C48">
              <w:rPr>
                <w:rFonts w:asciiTheme="minorHAnsi" w:hAnsiTheme="minorHAnsi" w:cs="ArialNarrow"/>
                <w:color w:val="000000" w:themeColor="text1"/>
                <w:szCs w:val="22"/>
              </w:rPr>
              <w:t>[szt.]</w:t>
            </w:r>
          </w:p>
        </w:tc>
        <w:tc>
          <w:tcPr>
            <w:tcW w:w="2435" w:type="pct"/>
            <w:shd w:val="clear" w:color="auto" w:fill="auto"/>
            <w:vAlign w:val="center"/>
          </w:tcPr>
          <w:p w14:paraId="424DF4B1" w14:textId="77777777" w:rsidR="00C52AD1" w:rsidRPr="00D52C48" w:rsidRDefault="00C52AD1" w:rsidP="00C52AD1">
            <w:pPr>
              <w:suppressAutoHyphens/>
              <w:spacing w:before="0" w:line="240" w:lineRule="auto"/>
              <w:jc w:val="both"/>
              <w:rPr>
                <w:rFonts w:asciiTheme="minorHAnsi" w:hAnsiTheme="minorHAnsi" w:cs="TimesNewRoman,Bold"/>
                <w:szCs w:val="22"/>
              </w:rPr>
            </w:pPr>
            <w:r w:rsidRPr="00D52C48">
              <w:rPr>
                <w:rFonts w:asciiTheme="minorHAnsi" w:hAnsiTheme="minorHAnsi" w:cs="TimesNewRoman,Bold"/>
                <w:szCs w:val="22"/>
              </w:rPr>
              <w:t xml:space="preserve">Jednostka wytwarzania energii elektrycznej obejmuje: </w:t>
            </w:r>
          </w:p>
          <w:p w14:paraId="43B11260" w14:textId="77777777" w:rsidR="00C52AD1" w:rsidRPr="00D52C48" w:rsidRDefault="00C52AD1" w:rsidP="00C52AD1">
            <w:pPr>
              <w:suppressAutoHyphens/>
              <w:spacing w:before="0" w:line="240" w:lineRule="auto"/>
              <w:jc w:val="both"/>
              <w:rPr>
                <w:rFonts w:asciiTheme="minorHAnsi" w:hAnsiTheme="minorHAnsi" w:cs="TimesNewRoman,Bold"/>
                <w:szCs w:val="22"/>
              </w:rPr>
            </w:pPr>
            <w:r w:rsidRPr="00D52C48">
              <w:rPr>
                <w:rFonts w:asciiTheme="minorHAnsi" w:hAnsiTheme="minorHAnsi" w:cs="TimesNewRoman,Bold"/>
                <w:szCs w:val="22"/>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14:paraId="7B1AD22D" w14:textId="77777777" w:rsidR="00C52AD1" w:rsidRPr="00D52C48" w:rsidRDefault="00C52AD1" w:rsidP="00C52AD1">
            <w:pPr>
              <w:suppressAutoHyphens/>
              <w:spacing w:before="0" w:line="240" w:lineRule="auto"/>
              <w:jc w:val="both"/>
              <w:rPr>
                <w:rFonts w:asciiTheme="minorHAnsi" w:hAnsiTheme="minorHAnsi" w:cs="TimesNewRoman,Bold"/>
                <w:szCs w:val="22"/>
              </w:rPr>
            </w:pPr>
            <w:r w:rsidRPr="00D52C48">
              <w:rPr>
                <w:rFonts w:asciiTheme="minorHAnsi" w:hAnsiTheme="minorHAnsi" w:cs="TimesNewRoman,Bold"/>
                <w:szCs w:val="22"/>
              </w:rPr>
              <w:t>w przypadku budynków mieszkalnych i budynków użyteczności publicznej: zespół urządzeń służących do wytwarzania energii elektrycznej z OZE.</w:t>
            </w:r>
          </w:p>
          <w:p w14:paraId="5DC94607" w14:textId="4EFDF85D" w:rsidR="000278EA" w:rsidRPr="000278EA" w:rsidRDefault="00C52AD1" w:rsidP="00C52AD1">
            <w:pPr>
              <w:suppressAutoHyphens/>
              <w:spacing w:before="0" w:line="240" w:lineRule="auto"/>
              <w:jc w:val="both"/>
              <w:rPr>
                <w:rFonts w:asciiTheme="minorHAnsi" w:hAnsiTheme="minorHAnsi"/>
                <w:bCs/>
                <w:szCs w:val="22"/>
              </w:rPr>
            </w:pPr>
            <w:r w:rsidRPr="00D52C48">
              <w:rPr>
                <w:rFonts w:asciiTheme="minorHAnsi" w:hAnsiTheme="minorHAnsi" w:cs="TimesNewRoman,Bold"/>
                <w:szCs w:val="22"/>
              </w:rPr>
              <w:t>Odnawialne źródła energii – rozumiane zgodnie z ustawą z dnia 20 lutego 2015 r. o odnawialnych źródłach energii.</w:t>
            </w:r>
          </w:p>
        </w:tc>
        <w:tc>
          <w:tcPr>
            <w:tcW w:w="876" w:type="pct"/>
            <w:vAlign w:val="center"/>
          </w:tcPr>
          <w:p w14:paraId="0D906E29" w14:textId="4EE0ABC5" w:rsidR="000278EA" w:rsidRPr="00612864" w:rsidRDefault="00C52AD1" w:rsidP="00EE4C8C">
            <w:pPr>
              <w:suppressAutoHyphens/>
              <w:spacing w:before="0" w:line="240" w:lineRule="auto"/>
              <w:jc w:val="center"/>
              <w:rPr>
                <w:sz w:val="20"/>
              </w:rPr>
            </w:pPr>
            <w:r w:rsidRPr="00D52C48">
              <w:rPr>
                <w:rFonts w:asciiTheme="minorHAnsi" w:hAnsiTheme="minorHAnsi"/>
                <w:szCs w:val="22"/>
              </w:rPr>
              <w:t>SZOOP RPO  WD 2014-2020</w:t>
            </w:r>
          </w:p>
        </w:tc>
      </w:tr>
      <w:tr w:rsidR="000278EA" w:rsidRPr="000278EA" w14:paraId="0D2E3425" w14:textId="77777777" w:rsidTr="007B5608">
        <w:trPr>
          <w:cantSplit/>
          <w:trHeight w:val="20"/>
          <w:jc w:val="center"/>
        </w:trPr>
        <w:tc>
          <w:tcPr>
            <w:tcW w:w="1163" w:type="pct"/>
            <w:shd w:val="clear" w:color="auto" w:fill="auto"/>
            <w:vAlign w:val="center"/>
          </w:tcPr>
          <w:p w14:paraId="19936B28" w14:textId="38110C75" w:rsidR="000278EA" w:rsidRPr="000278EA" w:rsidRDefault="000278EA" w:rsidP="00EE4C8C">
            <w:pPr>
              <w:spacing w:before="0" w:line="240" w:lineRule="auto"/>
              <w:jc w:val="center"/>
              <w:rPr>
                <w:rFonts w:asciiTheme="minorHAnsi" w:hAnsiTheme="minorHAnsi"/>
                <w:szCs w:val="22"/>
              </w:rPr>
            </w:pPr>
            <w:r w:rsidRPr="000278EA">
              <w:rPr>
                <w:rFonts w:asciiTheme="minorHAnsi" w:hAnsiTheme="minorHAnsi"/>
                <w:szCs w:val="22"/>
              </w:rPr>
              <w:t>Liczba wybudowanych jednostek wytwarzania energii cieplnej z OZE</w:t>
            </w:r>
          </w:p>
        </w:tc>
        <w:tc>
          <w:tcPr>
            <w:tcW w:w="526" w:type="pct"/>
            <w:vAlign w:val="center"/>
          </w:tcPr>
          <w:p w14:paraId="47828C5C" w14:textId="3AFA43E9" w:rsidR="000278EA" w:rsidRPr="00612864" w:rsidRDefault="00C52AD1" w:rsidP="00EE4C8C">
            <w:pPr>
              <w:suppressAutoHyphens/>
              <w:spacing w:before="0" w:line="240" w:lineRule="auto"/>
              <w:jc w:val="center"/>
              <w:rPr>
                <w:sz w:val="20"/>
              </w:rPr>
            </w:pPr>
            <w:r w:rsidRPr="00D52C48">
              <w:rPr>
                <w:rFonts w:asciiTheme="minorHAnsi" w:hAnsiTheme="minorHAnsi" w:cs="ArialNarrow"/>
                <w:color w:val="000000" w:themeColor="text1"/>
                <w:szCs w:val="22"/>
              </w:rPr>
              <w:t>[szt.]</w:t>
            </w:r>
          </w:p>
        </w:tc>
        <w:tc>
          <w:tcPr>
            <w:tcW w:w="2435" w:type="pct"/>
            <w:shd w:val="clear" w:color="auto" w:fill="auto"/>
            <w:vAlign w:val="center"/>
          </w:tcPr>
          <w:p w14:paraId="30631271" w14:textId="77777777" w:rsidR="00C52AD1" w:rsidRPr="00D52C48" w:rsidRDefault="00C52AD1" w:rsidP="00C52AD1">
            <w:pPr>
              <w:autoSpaceDE w:val="0"/>
              <w:autoSpaceDN w:val="0"/>
              <w:adjustRightInd w:val="0"/>
              <w:spacing w:before="0" w:line="240" w:lineRule="auto"/>
              <w:jc w:val="both"/>
              <w:rPr>
                <w:rFonts w:asciiTheme="minorHAnsi" w:hAnsiTheme="minorHAnsi" w:cs="TimesNewRoman,Bold"/>
                <w:szCs w:val="22"/>
              </w:rPr>
            </w:pPr>
            <w:r w:rsidRPr="00D52C48">
              <w:rPr>
                <w:rFonts w:asciiTheme="minorHAnsi" w:hAnsiTheme="minorHAnsi" w:cs="TimesNewRoman,Bold"/>
                <w:szCs w:val="22"/>
              </w:rPr>
              <w:t xml:space="preserve">Jednostka wytwarzania energii cieplnej obejmuje: </w:t>
            </w:r>
          </w:p>
          <w:p w14:paraId="63C7421B" w14:textId="77777777" w:rsidR="00C52AD1" w:rsidRPr="00D52C48" w:rsidRDefault="00C52AD1" w:rsidP="00C52AD1">
            <w:pPr>
              <w:autoSpaceDE w:val="0"/>
              <w:autoSpaceDN w:val="0"/>
              <w:adjustRightInd w:val="0"/>
              <w:spacing w:before="0" w:line="240" w:lineRule="auto"/>
              <w:jc w:val="both"/>
              <w:rPr>
                <w:rFonts w:asciiTheme="minorHAnsi" w:hAnsiTheme="minorHAnsi" w:cs="TimesNewRoman,Bold"/>
                <w:szCs w:val="22"/>
              </w:rPr>
            </w:pPr>
            <w:r w:rsidRPr="00D52C48">
              <w:rPr>
                <w:rFonts w:asciiTheme="minorHAnsi" w:hAnsiTheme="minorHAnsi" w:cs="TimesNewRoman,Bold"/>
                <w:szCs w:val="22"/>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14:paraId="6E3FE377" w14:textId="77777777" w:rsidR="00C52AD1" w:rsidRPr="00D52C48" w:rsidRDefault="00C52AD1" w:rsidP="00C52AD1">
            <w:pPr>
              <w:autoSpaceDE w:val="0"/>
              <w:autoSpaceDN w:val="0"/>
              <w:adjustRightInd w:val="0"/>
              <w:spacing w:before="0" w:line="240" w:lineRule="auto"/>
              <w:jc w:val="both"/>
              <w:rPr>
                <w:rFonts w:asciiTheme="minorHAnsi" w:hAnsiTheme="minorHAnsi" w:cs="TimesNewRoman,Bold"/>
                <w:szCs w:val="22"/>
              </w:rPr>
            </w:pPr>
            <w:r w:rsidRPr="00D52C48">
              <w:rPr>
                <w:rFonts w:asciiTheme="minorHAnsi" w:hAnsiTheme="minorHAnsi" w:cs="TimesNewRoman,Bold"/>
                <w:szCs w:val="22"/>
              </w:rPr>
              <w:t>w przypadku budynków mieszkalnych i budynków użyteczności publicznej: zespół urządzeń służących do wytwarzania energii cieplnej z OZE.</w:t>
            </w:r>
          </w:p>
          <w:p w14:paraId="24064E62" w14:textId="77777777" w:rsidR="00C52AD1" w:rsidRPr="00D52C48" w:rsidRDefault="00C52AD1" w:rsidP="00C52AD1">
            <w:pPr>
              <w:autoSpaceDE w:val="0"/>
              <w:autoSpaceDN w:val="0"/>
              <w:adjustRightInd w:val="0"/>
              <w:spacing w:before="0" w:line="240" w:lineRule="auto"/>
              <w:jc w:val="both"/>
              <w:rPr>
                <w:rFonts w:asciiTheme="minorHAnsi" w:hAnsiTheme="minorHAnsi" w:cs="TimesNewRoman,Bold"/>
                <w:szCs w:val="22"/>
              </w:rPr>
            </w:pPr>
          </w:p>
          <w:p w14:paraId="764F936A" w14:textId="20F9CCB6" w:rsidR="000278EA" w:rsidRPr="000278EA" w:rsidRDefault="00C52AD1" w:rsidP="00C52AD1">
            <w:pPr>
              <w:suppressAutoHyphens/>
              <w:spacing w:before="0" w:line="240" w:lineRule="auto"/>
              <w:jc w:val="both"/>
              <w:rPr>
                <w:rFonts w:asciiTheme="minorHAnsi" w:hAnsiTheme="minorHAnsi"/>
                <w:bCs/>
                <w:szCs w:val="22"/>
              </w:rPr>
            </w:pPr>
            <w:r w:rsidRPr="00D52C48">
              <w:rPr>
                <w:rFonts w:asciiTheme="minorHAnsi" w:hAnsiTheme="minorHAnsi" w:cs="TimesNewRoman,Bold"/>
                <w:szCs w:val="22"/>
              </w:rPr>
              <w:t>Odnawialne źródła energii – rozumiane zgodnie z ustawą z dnia 20 lutego 2015 r. o odnawialnych źródłach energii.</w:t>
            </w:r>
          </w:p>
        </w:tc>
        <w:tc>
          <w:tcPr>
            <w:tcW w:w="876" w:type="pct"/>
            <w:vAlign w:val="center"/>
          </w:tcPr>
          <w:p w14:paraId="65D73C39" w14:textId="5AC7DEDA" w:rsidR="000278EA" w:rsidRPr="00612864" w:rsidRDefault="00C52AD1" w:rsidP="00EE4C8C">
            <w:pPr>
              <w:suppressAutoHyphens/>
              <w:spacing w:before="0" w:line="240" w:lineRule="auto"/>
              <w:jc w:val="center"/>
              <w:rPr>
                <w:sz w:val="20"/>
              </w:rPr>
            </w:pPr>
            <w:r w:rsidRPr="00D52C48">
              <w:rPr>
                <w:rFonts w:asciiTheme="minorHAnsi" w:hAnsiTheme="minorHAnsi"/>
                <w:szCs w:val="22"/>
              </w:rPr>
              <w:t>SZOOP RPO  WD 2014-2020</w:t>
            </w:r>
          </w:p>
        </w:tc>
      </w:tr>
      <w:tr w:rsidR="000278EA" w:rsidRPr="000278EA" w14:paraId="59E08347" w14:textId="77777777" w:rsidTr="007B5608">
        <w:trPr>
          <w:cantSplit/>
          <w:trHeight w:val="20"/>
          <w:jc w:val="center"/>
        </w:trPr>
        <w:tc>
          <w:tcPr>
            <w:tcW w:w="1163" w:type="pct"/>
            <w:shd w:val="clear" w:color="auto" w:fill="auto"/>
            <w:vAlign w:val="center"/>
          </w:tcPr>
          <w:p w14:paraId="6B682492" w14:textId="34DA4098" w:rsidR="000278EA" w:rsidRPr="000278EA" w:rsidRDefault="000278EA" w:rsidP="00EE4C8C">
            <w:pPr>
              <w:spacing w:before="0" w:line="240" w:lineRule="auto"/>
              <w:jc w:val="center"/>
              <w:rPr>
                <w:rFonts w:asciiTheme="minorHAnsi" w:hAnsiTheme="minorHAnsi"/>
                <w:szCs w:val="22"/>
              </w:rPr>
            </w:pPr>
            <w:r w:rsidRPr="000278EA">
              <w:rPr>
                <w:rFonts w:asciiTheme="minorHAnsi" w:hAnsiTheme="minorHAnsi"/>
                <w:szCs w:val="22"/>
              </w:rPr>
              <w:t>Liczba obiektów dostosowanych do potrzeb osób z niepełnosprawnościami</w:t>
            </w:r>
          </w:p>
        </w:tc>
        <w:tc>
          <w:tcPr>
            <w:tcW w:w="526" w:type="pct"/>
            <w:vAlign w:val="center"/>
          </w:tcPr>
          <w:p w14:paraId="154FDEEA" w14:textId="22D637FA" w:rsidR="000278EA" w:rsidRPr="00612864" w:rsidRDefault="00C52AD1" w:rsidP="00EE4C8C">
            <w:pPr>
              <w:suppressAutoHyphens/>
              <w:spacing w:before="0" w:line="240" w:lineRule="auto"/>
              <w:jc w:val="center"/>
              <w:rPr>
                <w:sz w:val="20"/>
              </w:rPr>
            </w:pPr>
            <w:r w:rsidRPr="00D52C48">
              <w:rPr>
                <w:rFonts w:asciiTheme="minorHAnsi" w:hAnsiTheme="minorHAnsi"/>
                <w:szCs w:val="22"/>
              </w:rPr>
              <w:t>[szt.]</w:t>
            </w:r>
          </w:p>
        </w:tc>
        <w:tc>
          <w:tcPr>
            <w:tcW w:w="2435" w:type="pct"/>
            <w:shd w:val="clear" w:color="auto" w:fill="auto"/>
            <w:vAlign w:val="center"/>
          </w:tcPr>
          <w:p w14:paraId="5B2422E9" w14:textId="77777777" w:rsidR="00C52AD1" w:rsidRPr="00D52C48" w:rsidRDefault="00C52AD1" w:rsidP="00C52AD1">
            <w:pPr>
              <w:pStyle w:val="Default"/>
              <w:jc w:val="both"/>
              <w:rPr>
                <w:rFonts w:asciiTheme="minorHAnsi" w:hAnsiTheme="minorHAnsi"/>
                <w:sz w:val="22"/>
                <w:szCs w:val="22"/>
              </w:rPr>
            </w:pPr>
            <w:r w:rsidRPr="00D52C48">
              <w:rPr>
                <w:rFonts w:asciiTheme="minorHAnsi" w:hAnsiTheme="minorHAnsi"/>
                <w:sz w:val="22"/>
                <w:szCs w:val="22"/>
              </w:rPr>
              <w:t xml:space="preserve">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 </w:t>
            </w:r>
          </w:p>
          <w:p w14:paraId="145C3903" w14:textId="77777777" w:rsidR="00C52AD1" w:rsidRPr="00D52C48" w:rsidRDefault="00C52AD1" w:rsidP="00C52AD1">
            <w:pPr>
              <w:pStyle w:val="Default"/>
              <w:jc w:val="both"/>
              <w:rPr>
                <w:rFonts w:asciiTheme="minorHAnsi" w:hAnsiTheme="minorHAnsi"/>
                <w:sz w:val="22"/>
                <w:szCs w:val="22"/>
              </w:rPr>
            </w:pPr>
            <w:r w:rsidRPr="00D52C48">
              <w:rPr>
                <w:rFonts w:asciiTheme="minorHAnsi" w:hAnsiTheme="minorHAnsi"/>
                <w:sz w:val="22"/>
                <w:szCs w:val="22"/>
              </w:rPr>
              <w:t xml:space="preserve">Jako obiekty budowlane należy rozumieć konstrukcje połączone z gruntem w sposób </w:t>
            </w:r>
          </w:p>
          <w:p w14:paraId="3103DEF0" w14:textId="77777777" w:rsidR="00C52AD1" w:rsidRPr="00D52C48" w:rsidRDefault="00C52AD1" w:rsidP="00C52AD1">
            <w:pPr>
              <w:pStyle w:val="Default"/>
              <w:jc w:val="both"/>
              <w:rPr>
                <w:rFonts w:asciiTheme="minorHAnsi" w:hAnsiTheme="minorHAnsi"/>
                <w:sz w:val="22"/>
                <w:szCs w:val="22"/>
              </w:rPr>
            </w:pPr>
            <w:r w:rsidRPr="00D52C48">
              <w:rPr>
                <w:rFonts w:asciiTheme="minorHAnsi" w:hAnsiTheme="minorHAnsi"/>
                <w:sz w:val="22"/>
                <w:szCs w:val="22"/>
              </w:rPr>
              <w:t xml:space="preserve">trwały, wykonane z materiałów budowlanych i elementów składowych, będące </w:t>
            </w:r>
          </w:p>
          <w:p w14:paraId="7C8C7586" w14:textId="77777777" w:rsidR="00C52AD1" w:rsidRPr="00D52C48" w:rsidRDefault="00C52AD1" w:rsidP="00C52AD1">
            <w:pPr>
              <w:pStyle w:val="Default"/>
              <w:jc w:val="both"/>
              <w:rPr>
                <w:rFonts w:asciiTheme="minorHAnsi" w:hAnsiTheme="minorHAnsi"/>
                <w:sz w:val="22"/>
                <w:szCs w:val="22"/>
              </w:rPr>
            </w:pPr>
            <w:r w:rsidRPr="00D52C48">
              <w:rPr>
                <w:rFonts w:asciiTheme="minorHAnsi" w:hAnsiTheme="minorHAnsi"/>
                <w:sz w:val="22"/>
                <w:szCs w:val="22"/>
              </w:rPr>
              <w:t xml:space="preserve">wynikiem prac budowlanych (wg. def. PKOB). </w:t>
            </w:r>
          </w:p>
          <w:p w14:paraId="33859BCD" w14:textId="77777777" w:rsidR="00C52AD1" w:rsidRPr="00D52C48" w:rsidRDefault="00C52AD1" w:rsidP="00C52AD1">
            <w:pPr>
              <w:pStyle w:val="Default"/>
              <w:jc w:val="both"/>
              <w:rPr>
                <w:rFonts w:asciiTheme="minorHAnsi" w:hAnsiTheme="minorHAnsi"/>
                <w:sz w:val="22"/>
                <w:szCs w:val="22"/>
              </w:rPr>
            </w:pPr>
            <w:r w:rsidRPr="00D52C48">
              <w:rPr>
                <w:rFonts w:asciiTheme="minorHAnsi" w:hAnsiTheme="minorHAnsi"/>
                <w:sz w:val="22"/>
                <w:szCs w:val="22"/>
              </w:rPr>
              <w:t xml:space="preserve">Należy podać liczbę obiektów, a nie sprzętów, urządzeń itp., w które obiekty zaopatrzono. </w:t>
            </w:r>
          </w:p>
          <w:p w14:paraId="342783CF" w14:textId="27B6E6B5" w:rsidR="000278EA" w:rsidRPr="000278EA" w:rsidRDefault="00C52AD1" w:rsidP="00C52AD1">
            <w:pPr>
              <w:suppressAutoHyphens/>
              <w:spacing w:before="0" w:line="240" w:lineRule="auto"/>
              <w:jc w:val="both"/>
              <w:rPr>
                <w:rFonts w:asciiTheme="minorHAnsi" w:hAnsiTheme="minorHAnsi"/>
                <w:bCs/>
                <w:szCs w:val="22"/>
              </w:rPr>
            </w:pPr>
            <w:r w:rsidRPr="00D52C48">
              <w:rPr>
                <w:rFonts w:asciiTheme="minorHAnsi" w:hAnsiTheme="minorHAnsi"/>
                <w:szCs w:val="22"/>
              </w:rPr>
              <w:t>Jeśli instytucja, zakład itp. składa się z kilku obiektów, należy zliczyć wszystkie, które dostosowano do potrzeb osób niepełnosprawnych.</w:t>
            </w:r>
          </w:p>
        </w:tc>
        <w:tc>
          <w:tcPr>
            <w:tcW w:w="876" w:type="pct"/>
            <w:vAlign w:val="center"/>
          </w:tcPr>
          <w:p w14:paraId="6AF87D01" w14:textId="12DDF530" w:rsidR="000278EA" w:rsidRPr="00612864" w:rsidRDefault="00C52AD1" w:rsidP="00EE4C8C">
            <w:pPr>
              <w:suppressAutoHyphens/>
              <w:spacing w:before="0" w:line="240" w:lineRule="auto"/>
              <w:jc w:val="center"/>
              <w:rPr>
                <w:sz w:val="20"/>
              </w:rPr>
            </w:pPr>
            <w:r w:rsidRPr="00D52C48">
              <w:rPr>
                <w:rFonts w:asciiTheme="minorHAnsi" w:hAnsiTheme="minorHAnsi"/>
                <w:szCs w:val="22"/>
              </w:rPr>
              <w:t>Horyzontalny</w:t>
            </w:r>
          </w:p>
        </w:tc>
      </w:tr>
      <w:tr w:rsidR="000278EA" w:rsidRPr="000278EA" w14:paraId="07E17F69" w14:textId="77777777" w:rsidTr="007B5608">
        <w:trPr>
          <w:cantSplit/>
          <w:trHeight w:val="20"/>
          <w:jc w:val="center"/>
        </w:trPr>
        <w:tc>
          <w:tcPr>
            <w:tcW w:w="1163" w:type="pct"/>
            <w:shd w:val="clear" w:color="auto" w:fill="auto"/>
            <w:vAlign w:val="center"/>
          </w:tcPr>
          <w:p w14:paraId="2FD6A6C8" w14:textId="224EE4C8" w:rsidR="000278EA" w:rsidRPr="000278EA" w:rsidRDefault="00C52AD1" w:rsidP="00EE4C8C">
            <w:pPr>
              <w:spacing w:before="0" w:line="240" w:lineRule="auto"/>
              <w:jc w:val="center"/>
              <w:rPr>
                <w:rFonts w:asciiTheme="minorHAnsi" w:hAnsiTheme="minorHAnsi"/>
                <w:szCs w:val="22"/>
              </w:rPr>
            </w:pPr>
            <w:r w:rsidRPr="00C52AD1">
              <w:rPr>
                <w:rFonts w:asciiTheme="minorHAnsi" w:hAnsiTheme="minorHAnsi"/>
                <w:szCs w:val="22"/>
              </w:rPr>
              <w:lastRenderedPageBreak/>
              <w:t>Liczba projektów, w których sfinansowano koszty racjonalnych usprawnień dla osób z niepełnosprawnościami</w:t>
            </w:r>
          </w:p>
        </w:tc>
        <w:tc>
          <w:tcPr>
            <w:tcW w:w="526" w:type="pct"/>
            <w:vAlign w:val="center"/>
          </w:tcPr>
          <w:p w14:paraId="58C923F1" w14:textId="50860394" w:rsidR="000278EA" w:rsidRPr="00612864" w:rsidRDefault="00C52AD1" w:rsidP="00EE4C8C">
            <w:pPr>
              <w:suppressAutoHyphens/>
              <w:spacing w:before="0" w:line="240" w:lineRule="auto"/>
              <w:jc w:val="center"/>
              <w:rPr>
                <w:sz w:val="20"/>
              </w:rPr>
            </w:pPr>
            <w:r w:rsidRPr="00D52C48">
              <w:rPr>
                <w:rFonts w:asciiTheme="minorHAnsi" w:hAnsiTheme="minorHAnsi"/>
                <w:szCs w:val="22"/>
              </w:rPr>
              <w:t>[szt.]</w:t>
            </w:r>
          </w:p>
        </w:tc>
        <w:tc>
          <w:tcPr>
            <w:tcW w:w="2435" w:type="pct"/>
            <w:shd w:val="clear" w:color="auto" w:fill="auto"/>
            <w:vAlign w:val="center"/>
          </w:tcPr>
          <w:p w14:paraId="097E32C3" w14:textId="77777777" w:rsidR="00C52AD1" w:rsidRPr="00D52C48" w:rsidRDefault="00C52AD1" w:rsidP="00C52AD1">
            <w:pPr>
              <w:autoSpaceDE w:val="0"/>
              <w:autoSpaceDN w:val="0"/>
              <w:adjustRightInd w:val="0"/>
              <w:spacing w:before="0" w:line="240" w:lineRule="auto"/>
              <w:jc w:val="both"/>
              <w:rPr>
                <w:rFonts w:asciiTheme="minorHAnsi" w:hAnsiTheme="minorHAnsi" w:cs="TimesNewRoman,Bold"/>
                <w:szCs w:val="22"/>
              </w:rPr>
            </w:pPr>
            <w:r w:rsidRPr="00D52C48">
              <w:rPr>
                <w:rFonts w:asciiTheme="minorHAnsi" w:eastAsiaTheme="minorHAnsi" w:hAnsiTheme="minorHAnsi" w:cs="Arial"/>
                <w:color w:val="000000"/>
                <w:szCs w:val="22"/>
                <w:lang w:eastAsia="en-US"/>
              </w:rPr>
              <w:t>R</w:t>
            </w:r>
            <w:r w:rsidRPr="00D52C48">
              <w:rPr>
                <w:rFonts w:asciiTheme="minorHAnsi" w:hAnsiTheme="minorHAnsi" w:cs="TimesNewRoman,Bold"/>
                <w:szCs w:val="22"/>
              </w:rPr>
              <w:t xml:space="preserve">acjonalne usprawnienie oznacza konieczne i odpowiednie zmiany oraz dostosowania, nie nakładające nieproporcjonalnego lub nadmiernego obciążenia, jeśli jest potrzebne w konkretnym przypadku, w celu zapewnienia osobom z niepełnosprawnościami możliwości korzystania z wszelkich praw człowieka i podstawowych wolności oraz ich wykonywania na zasadzie równości z innymi osobami (zgodnie z art. 2 Konwencji o prawach osób niepełnosprawnych). Wskaźnik mierzony w momencie rozliczenia wydatku związanego z racjonalnymi usprawnieniami. </w:t>
            </w:r>
          </w:p>
          <w:p w14:paraId="496E096D" w14:textId="77777777" w:rsidR="00C52AD1" w:rsidRPr="00D52C48" w:rsidRDefault="00C52AD1" w:rsidP="00C52AD1">
            <w:pPr>
              <w:autoSpaceDE w:val="0"/>
              <w:autoSpaceDN w:val="0"/>
              <w:adjustRightInd w:val="0"/>
              <w:spacing w:before="0" w:line="240" w:lineRule="auto"/>
              <w:jc w:val="both"/>
              <w:rPr>
                <w:rFonts w:asciiTheme="minorHAnsi" w:hAnsiTheme="minorHAnsi" w:cs="TimesNewRoman,Bold"/>
                <w:szCs w:val="22"/>
              </w:rPr>
            </w:pPr>
            <w:r w:rsidRPr="00D52C48">
              <w:rPr>
                <w:rFonts w:asciiTheme="minorHAnsi" w:hAnsiTheme="minorHAnsi" w:cs="TimesNewRoman,Bold"/>
                <w:szCs w:val="22"/>
              </w:rPr>
              <w:t xml:space="preserve">Przykłady racjonalnych usprawnień: tłumacz języka migowego, transport niskopodłogowy, dostosowanie infrastruktury (nie tylko budynku, ale też sprzętu np. komputer, czytnik dla osób niewidzących), osoby asystujące, odpowiednie dostosowanie wyżywienia. </w:t>
            </w:r>
          </w:p>
          <w:p w14:paraId="1D6C8958" w14:textId="77777777" w:rsidR="00C52AD1" w:rsidRPr="00D52C48" w:rsidRDefault="00C52AD1" w:rsidP="00C52AD1">
            <w:pPr>
              <w:spacing w:before="0" w:line="240" w:lineRule="auto"/>
              <w:jc w:val="both"/>
              <w:rPr>
                <w:rFonts w:asciiTheme="minorHAnsi" w:hAnsiTheme="minorHAnsi" w:cs="TimesNewRoman,Bold"/>
                <w:szCs w:val="22"/>
              </w:rPr>
            </w:pPr>
            <w:r w:rsidRPr="00D52C48">
              <w:rPr>
                <w:rFonts w:asciiTheme="minorHAnsi" w:hAnsiTheme="minorHAnsi" w:cs="TimesNewRoman,Bold"/>
                <w:szCs w:val="22"/>
              </w:rPr>
              <w:t>Wybór wskaźnika dot. finansowania racjonalnych usprawnień powoduje konieczność wskazania również wskaźnika: liczba obiektów dostosowanych do osób z nieprawidłowościami.</w:t>
            </w:r>
          </w:p>
          <w:p w14:paraId="67DDBA46" w14:textId="77777777" w:rsidR="00C52AD1" w:rsidRPr="00D52C48" w:rsidRDefault="00C52AD1" w:rsidP="00C52AD1">
            <w:pPr>
              <w:spacing w:before="0" w:line="240" w:lineRule="auto"/>
              <w:jc w:val="both"/>
              <w:rPr>
                <w:rFonts w:asciiTheme="minorHAnsi" w:hAnsiTheme="minorHAnsi" w:cs="TimesNewRoman,Bold"/>
                <w:szCs w:val="22"/>
              </w:rPr>
            </w:pPr>
          </w:p>
          <w:p w14:paraId="3774B3DC" w14:textId="4040104F" w:rsidR="000278EA" w:rsidRPr="000278EA" w:rsidRDefault="00C52AD1" w:rsidP="00C52AD1">
            <w:pPr>
              <w:suppressAutoHyphens/>
              <w:spacing w:before="0" w:line="240" w:lineRule="auto"/>
              <w:jc w:val="both"/>
              <w:rPr>
                <w:rFonts w:asciiTheme="minorHAnsi" w:hAnsiTheme="minorHAnsi"/>
                <w:bCs/>
                <w:szCs w:val="22"/>
              </w:rPr>
            </w:pPr>
            <w:r w:rsidRPr="00D52C48">
              <w:rPr>
                <w:rFonts w:asciiTheme="minorHAnsi" w:hAnsiTheme="minorHAnsi" w:cs="TimesNewRoman,Bold"/>
                <w:szCs w:val="22"/>
              </w:rPr>
              <w:t>Definicja na podstawie: Agenda działań na rzecz równości szans i niedyskryminacji osób z nieprawidłowościami w ramach funduszy unijnych 2014-2020.</w:t>
            </w:r>
          </w:p>
        </w:tc>
        <w:tc>
          <w:tcPr>
            <w:tcW w:w="876" w:type="pct"/>
            <w:vAlign w:val="center"/>
          </w:tcPr>
          <w:p w14:paraId="1324DA90" w14:textId="5CE7E34D" w:rsidR="000278EA" w:rsidRPr="00612864" w:rsidRDefault="00C52AD1" w:rsidP="00EE4C8C">
            <w:pPr>
              <w:suppressAutoHyphens/>
              <w:spacing w:before="0" w:line="240" w:lineRule="auto"/>
              <w:jc w:val="center"/>
              <w:rPr>
                <w:sz w:val="20"/>
              </w:rPr>
            </w:pPr>
            <w:r w:rsidRPr="00D52C48">
              <w:rPr>
                <w:rFonts w:asciiTheme="minorHAnsi" w:hAnsiTheme="minorHAnsi"/>
                <w:szCs w:val="22"/>
              </w:rPr>
              <w:t>Horyzontalny</w:t>
            </w:r>
          </w:p>
        </w:tc>
      </w:tr>
      <w:tr w:rsidR="00C52AD1" w:rsidRPr="000278EA" w14:paraId="37224E9A" w14:textId="77777777" w:rsidTr="007B5608">
        <w:trPr>
          <w:cantSplit/>
          <w:trHeight w:val="20"/>
          <w:jc w:val="center"/>
        </w:trPr>
        <w:tc>
          <w:tcPr>
            <w:tcW w:w="1163" w:type="pct"/>
            <w:shd w:val="clear" w:color="auto" w:fill="auto"/>
            <w:vAlign w:val="center"/>
          </w:tcPr>
          <w:p w14:paraId="74B7FE96" w14:textId="6F4518BE" w:rsidR="00C52AD1" w:rsidRPr="000278EA" w:rsidRDefault="00C52AD1" w:rsidP="00EE4C8C">
            <w:pPr>
              <w:spacing w:before="0" w:line="240" w:lineRule="auto"/>
              <w:jc w:val="center"/>
              <w:rPr>
                <w:rFonts w:asciiTheme="minorHAnsi" w:hAnsiTheme="minorHAnsi"/>
                <w:szCs w:val="22"/>
              </w:rPr>
            </w:pPr>
            <w:r w:rsidRPr="00C52AD1">
              <w:rPr>
                <w:rFonts w:asciiTheme="minorHAnsi" w:hAnsiTheme="minorHAnsi"/>
                <w:szCs w:val="22"/>
              </w:rPr>
              <w:t>Liczba podmiotów wykorzystujących technologie informacyjno- komunikacyjne (TIK)</w:t>
            </w:r>
          </w:p>
        </w:tc>
        <w:tc>
          <w:tcPr>
            <w:tcW w:w="526" w:type="pct"/>
            <w:vAlign w:val="center"/>
          </w:tcPr>
          <w:p w14:paraId="51AEBF1F" w14:textId="6B5241DE" w:rsidR="00C52AD1" w:rsidRPr="00612864" w:rsidRDefault="00C52AD1" w:rsidP="00EE4C8C">
            <w:pPr>
              <w:suppressAutoHyphens/>
              <w:spacing w:before="0" w:line="240" w:lineRule="auto"/>
              <w:jc w:val="center"/>
              <w:rPr>
                <w:sz w:val="20"/>
              </w:rPr>
            </w:pPr>
            <w:r w:rsidRPr="00D52C48">
              <w:rPr>
                <w:rFonts w:asciiTheme="minorHAnsi" w:hAnsiTheme="minorHAnsi"/>
                <w:szCs w:val="22"/>
              </w:rPr>
              <w:t>[szt.]</w:t>
            </w:r>
          </w:p>
        </w:tc>
        <w:tc>
          <w:tcPr>
            <w:tcW w:w="2435" w:type="pct"/>
            <w:shd w:val="clear" w:color="auto" w:fill="auto"/>
            <w:vAlign w:val="center"/>
          </w:tcPr>
          <w:p w14:paraId="37E6E134" w14:textId="1C3C7669" w:rsidR="00C52AD1" w:rsidRPr="000278EA" w:rsidRDefault="00C52AD1" w:rsidP="00C52AD1">
            <w:pPr>
              <w:suppressAutoHyphens/>
              <w:spacing w:before="0" w:line="240" w:lineRule="auto"/>
              <w:jc w:val="both"/>
              <w:rPr>
                <w:rFonts w:asciiTheme="minorHAnsi" w:hAnsiTheme="minorHAnsi"/>
                <w:bCs/>
                <w:szCs w:val="22"/>
              </w:rPr>
            </w:pPr>
            <w:r w:rsidRPr="00D52C48">
              <w:rPr>
                <w:rFonts w:asciiTheme="minorHAnsi" w:hAnsiTheme="minorHAnsi"/>
                <w:szCs w:val="22"/>
              </w:rPr>
              <w:t>Wskaźnik mierzy liczbę podmiotów, które w celu realizacji projektu zainwestowały w technologie informacyjno-komunikacyjne, 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tc>
        <w:tc>
          <w:tcPr>
            <w:tcW w:w="876" w:type="pct"/>
            <w:vAlign w:val="center"/>
          </w:tcPr>
          <w:p w14:paraId="2F5A52AC" w14:textId="104590DD" w:rsidR="00C52AD1" w:rsidRPr="00612864" w:rsidRDefault="00C52AD1" w:rsidP="00EE4C8C">
            <w:pPr>
              <w:suppressAutoHyphens/>
              <w:spacing w:before="0" w:line="240" w:lineRule="auto"/>
              <w:jc w:val="center"/>
              <w:rPr>
                <w:sz w:val="20"/>
              </w:rPr>
            </w:pPr>
            <w:r w:rsidRPr="00D52C48">
              <w:rPr>
                <w:rFonts w:asciiTheme="minorHAnsi" w:hAnsiTheme="minorHAnsi"/>
                <w:szCs w:val="22"/>
              </w:rPr>
              <w:t>Horyzontalny</w:t>
            </w:r>
          </w:p>
        </w:tc>
      </w:tr>
      <w:tr w:rsidR="000278EA" w:rsidRPr="000278EA" w14:paraId="035E3294" w14:textId="77777777" w:rsidTr="007B5608">
        <w:trPr>
          <w:cantSplit/>
          <w:trHeight w:val="20"/>
          <w:jc w:val="center"/>
        </w:trPr>
        <w:tc>
          <w:tcPr>
            <w:tcW w:w="1163" w:type="pct"/>
            <w:shd w:val="clear" w:color="auto" w:fill="auto"/>
            <w:vAlign w:val="center"/>
          </w:tcPr>
          <w:p w14:paraId="05CBA726" w14:textId="2DC5362A" w:rsidR="000278EA" w:rsidRPr="000278EA" w:rsidRDefault="00C52AD1" w:rsidP="00EE4C8C">
            <w:pPr>
              <w:spacing w:before="0" w:line="240" w:lineRule="auto"/>
              <w:jc w:val="center"/>
              <w:rPr>
                <w:rFonts w:asciiTheme="minorHAnsi" w:hAnsiTheme="minorHAnsi"/>
                <w:szCs w:val="22"/>
              </w:rPr>
            </w:pPr>
            <w:r w:rsidRPr="00C52AD1">
              <w:rPr>
                <w:rFonts w:asciiTheme="minorHAnsi" w:hAnsiTheme="minorHAnsi"/>
                <w:szCs w:val="22"/>
              </w:rPr>
              <w:t>Liczba osób objętych szkoleniami/doradztwem w zakresie kompetencji cyfrowych [O/K/M]</w:t>
            </w:r>
          </w:p>
        </w:tc>
        <w:tc>
          <w:tcPr>
            <w:tcW w:w="526" w:type="pct"/>
            <w:vAlign w:val="center"/>
          </w:tcPr>
          <w:p w14:paraId="70D8184C" w14:textId="7E27747F" w:rsidR="000278EA" w:rsidRPr="00612864" w:rsidRDefault="00C52AD1" w:rsidP="00EE4C8C">
            <w:pPr>
              <w:suppressAutoHyphens/>
              <w:spacing w:before="0" w:line="240" w:lineRule="auto"/>
              <w:jc w:val="center"/>
              <w:rPr>
                <w:sz w:val="20"/>
              </w:rPr>
            </w:pPr>
            <w:r w:rsidRPr="00D52C48">
              <w:rPr>
                <w:rFonts w:asciiTheme="minorHAnsi" w:hAnsiTheme="minorHAnsi"/>
                <w:szCs w:val="22"/>
              </w:rPr>
              <w:t>[osoby]</w:t>
            </w:r>
          </w:p>
        </w:tc>
        <w:tc>
          <w:tcPr>
            <w:tcW w:w="2435" w:type="pct"/>
            <w:shd w:val="clear" w:color="auto" w:fill="auto"/>
            <w:vAlign w:val="center"/>
          </w:tcPr>
          <w:p w14:paraId="2D28FDFE" w14:textId="5CCB4293" w:rsidR="000278EA" w:rsidRPr="000278EA" w:rsidRDefault="00C52AD1" w:rsidP="00EE4C8C">
            <w:pPr>
              <w:suppressAutoHyphens/>
              <w:spacing w:before="0" w:line="240" w:lineRule="auto"/>
              <w:jc w:val="center"/>
              <w:rPr>
                <w:rFonts w:asciiTheme="minorHAnsi" w:hAnsiTheme="minorHAnsi"/>
                <w:bCs/>
                <w:szCs w:val="22"/>
              </w:rPr>
            </w:pPr>
            <w:r w:rsidRPr="00D52C48">
              <w:rPr>
                <w:rFonts w:asciiTheme="minorHAnsi" w:hAnsiTheme="minorHAnsi"/>
                <w:szCs w:val="22"/>
              </w:rPr>
              <w:t>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w:t>
            </w:r>
          </w:p>
        </w:tc>
        <w:tc>
          <w:tcPr>
            <w:tcW w:w="876" w:type="pct"/>
            <w:vAlign w:val="center"/>
          </w:tcPr>
          <w:p w14:paraId="18A4BFC9" w14:textId="0BD89205" w:rsidR="000278EA" w:rsidRPr="00612864" w:rsidRDefault="00C52AD1" w:rsidP="00EE4C8C">
            <w:pPr>
              <w:suppressAutoHyphens/>
              <w:spacing w:before="0" w:line="240" w:lineRule="auto"/>
              <w:jc w:val="center"/>
              <w:rPr>
                <w:sz w:val="20"/>
              </w:rPr>
            </w:pPr>
            <w:r w:rsidRPr="00D52C48">
              <w:rPr>
                <w:rFonts w:asciiTheme="minorHAnsi" w:hAnsiTheme="minorHAnsi"/>
                <w:szCs w:val="22"/>
              </w:rPr>
              <w:t>Horyzontalny</w:t>
            </w:r>
          </w:p>
        </w:tc>
      </w:tr>
    </w:tbl>
    <w:p w14:paraId="6C97564C" w14:textId="77777777" w:rsidR="00DF6D97" w:rsidRPr="00D52C48" w:rsidRDefault="00DF6D97" w:rsidP="007650AC">
      <w:pPr>
        <w:autoSpaceDE w:val="0"/>
        <w:autoSpaceDN w:val="0"/>
        <w:adjustRightInd w:val="0"/>
        <w:spacing w:before="0" w:line="240" w:lineRule="auto"/>
        <w:jc w:val="both"/>
        <w:rPr>
          <w:rFonts w:asciiTheme="minorHAnsi" w:hAnsiTheme="minorHAnsi"/>
        </w:rPr>
      </w:pPr>
    </w:p>
    <w:p w14:paraId="6FF776B3" w14:textId="77777777" w:rsidR="00781388" w:rsidRPr="00D52C48" w:rsidRDefault="00781388" w:rsidP="007650AC">
      <w:pPr>
        <w:autoSpaceDE w:val="0"/>
        <w:autoSpaceDN w:val="0"/>
        <w:adjustRightInd w:val="0"/>
        <w:spacing w:before="0" w:line="240" w:lineRule="auto"/>
        <w:jc w:val="both"/>
        <w:rPr>
          <w:rFonts w:asciiTheme="minorHAnsi" w:hAnsiTheme="minorHAnsi"/>
        </w:rPr>
      </w:pPr>
    </w:p>
    <w:p w14:paraId="04D69A2C" w14:textId="77777777" w:rsidR="00DF6D97" w:rsidRPr="00D52C48" w:rsidRDefault="00DF6D97" w:rsidP="00781388">
      <w:pPr>
        <w:spacing w:before="0" w:after="200" w:line="276" w:lineRule="auto"/>
        <w:jc w:val="both"/>
        <w:rPr>
          <w:rFonts w:asciiTheme="minorHAnsi" w:hAnsiTheme="minorHAnsi" w:cs="Arial"/>
          <w:szCs w:val="22"/>
        </w:rPr>
      </w:pPr>
      <w:r w:rsidRPr="00D52C48">
        <w:rPr>
          <w:rFonts w:asciiTheme="minorHAnsi" w:hAnsiTheme="minorHAnsi"/>
          <w:b/>
          <w:szCs w:val="22"/>
        </w:rPr>
        <w:t>Wskaźniki rezultatu bezpośredniego</w:t>
      </w:r>
      <w:r w:rsidRPr="00D52C48">
        <w:rPr>
          <w:rFonts w:asciiTheme="minorHAnsi" w:hAnsiTheme="minorHAnsi"/>
          <w:szCs w:val="22"/>
        </w:rPr>
        <w:t xml:space="preserve"> są to w</w:t>
      </w:r>
      <w:r w:rsidRPr="00D52C48">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14:paraId="37E54780" w14:textId="77777777" w:rsidR="00DF6D97" w:rsidRPr="00D52C48" w:rsidRDefault="00DF6D97" w:rsidP="00781388">
      <w:pPr>
        <w:pStyle w:val="Default"/>
        <w:jc w:val="both"/>
        <w:rPr>
          <w:rFonts w:asciiTheme="minorHAnsi" w:hAnsiTheme="minorHAnsi"/>
          <w:sz w:val="22"/>
          <w:szCs w:val="22"/>
        </w:rPr>
      </w:pPr>
    </w:p>
    <w:p w14:paraId="71F4D835" w14:textId="77777777" w:rsidR="00DF6D97" w:rsidRPr="00D52C48" w:rsidRDefault="00DF6D97" w:rsidP="00781388">
      <w:pPr>
        <w:pStyle w:val="Default"/>
        <w:jc w:val="both"/>
        <w:rPr>
          <w:rFonts w:asciiTheme="minorHAnsi" w:hAnsiTheme="minorHAnsi"/>
          <w:sz w:val="22"/>
          <w:szCs w:val="22"/>
        </w:rPr>
      </w:pPr>
      <w:r w:rsidRPr="00D52C48">
        <w:rPr>
          <w:rFonts w:asciiTheme="minorHAnsi" w:hAnsiTheme="minorHAnsi"/>
          <w:sz w:val="22"/>
          <w:szCs w:val="22"/>
        </w:rPr>
        <w:t xml:space="preserve">Dla każdego z wybranych wskaźników Wnioskodawca zobowiązany jest do wskazania </w:t>
      </w:r>
      <w:r w:rsidRPr="00D52C48">
        <w:rPr>
          <w:rFonts w:asciiTheme="minorHAnsi" w:hAnsiTheme="minorHAnsi"/>
          <w:i/>
          <w:sz w:val="22"/>
          <w:szCs w:val="22"/>
        </w:rPr>
        <w:t>„Jednostki miary”</w:t>
      </w:r>
      <w:r w:rsidRPr="00D52C48">
        <w:rPr>
          <w:rFonts w:asciiTheme="minorHAnsi" w:hAnsiTheme="minorHAnsi"/>
          <w:sz w:val="22"/>
          <w:szCs w:val="22"/>
        </w:rPr>
        <w:t xml:space="preserve">, </w:t>
      </w:r>
      <w:r w:rsidRPr="00D52C48">
        <w:rPr>
          <w:rFonts w:asciiTheme="minorHAnsi" w:hAnsiTheme="minorHAnsi"/>
          <w:i/>
          <w:sz w:val="22"/>
          <w:szCs w:val="22"/>
        </w:rPr>
        <w:t>„Wartości bazowej”</w:t>
      </w:r>
      <w:r w:rsidRPr="00D52C48">
        <w:rPr>
          <w:rFonts w:asciiTheme="minorHAnsi" w:hAnsiTheme="minorHAnsi"/>
          <w:sz w:val="22"/>
          <w:szCs w:val="22"/>
        </w:rPr>
        <w:t xml:space="preserve">, </w:t>
      </w:r>
      <w:r w:rsidRPr="00D52C48">
        <w:rPr>
          <w:rFonts w:asciiTheme="minorHAnsi" w:hAnsiTheme="minorHAnsi"/>
          <w:i/>
          <w:sz w:val="22"/>
          <w:szCs w:val="22"/>
        </w:rPr>
        <w:t>„Wartości docelowej wskaźnika”</w:t>
      </w:r>
      <w:r w:rsidRPr="00D52C48">
        <w:rPr>
          <w:rFonts w:asciiTheme="minorHAnsi" w:hAnsiTheme="minorHAnsi"/>
          <w:sz w:val="22"/>
          <w:szCs w:val="22"/>
        </w:rPr>
        <w:t xml:space="preserve">, a także </w:t>
      </w:r>
      <w:r w:rsidRPr="00D52C48">
        <w:rPr>
          <w:rFonts w:asciiTheme="minorHAnsi" w:hAnsiTheme="minorHAnsi"/>
          <w:i/>
          <w:sz w:val="22"/>
          <w:szCs w:val="22"/>
        </w:rPr>
        <w:t>„Źródła informacji o wskaźniku”</w:t>
      </w:r>
      <w:r w:rsidRPr="00D52C48">
        <w:rPr>
          <w:rFonts w:asciiTheme="minorHAnsi" w:hAnsiTheme="minorHAnsi"/>
          <w:sz w:val="22"/>
          <w:szCs w:val="22"/>
        </w:rPr>
        <w:t xml:space="preserve">. </w:t>
      </w:r>
    </w:p>
    <w:p w14:paraId="591759DF" w14:textId="77777777" w:rsidR="00DF6D97" w:rsidRPr="00D52C48" w:rsidRDefault="00DF6D97" w:rsidP="00781388">
      <w:pPr>
        <w:pStyle w:val="Default"/>
        <w:jc w:val="both"/>
        <w:rPr>
          <w:rFonts w:asciiTheme="minorHAnsi" w:hAnsiTheme="minorHAnsi"/>
          <w:sz w:val="22"/>
          <w:szCs w:val="22"/>
        </w:rPr>
      </w:pPr>
      <w:r w:rsidRPr="00D52C48">
        <w:rPr>
          <w:rFonts w:asciiTheme="minorHAnsi" w:hAnsiTheme="minorHAnsi"/>
          <w:sz w:val="22"/>
          <w:szCs w:val="22"/>
        </w:rPr>
        <w:t xml:space="preserve">Wartość docelowa dla wskaźnika rezultatu to wyrażony liczbowo stan danego wskaźnika uzyskany w efekcie realizacji projektu </w:t>
      </w:r>
    </w:p>
    <w:p w14:paraId="6FDF9A26" w14:textId="77777777" w:rsidR="00DF6D97" w:rsidRPr="00D52C48" w:rsidRDefault="00DF6D97" w:rsidP="00781388">
      <w:pPr>
        <w:autoSpaceDE w:val="0"/>
        <w:autoSpaceDN w:val="0"/>
        <w:adjustRightInd w:val="0"/>
        <w:spacing w:before="0" w:line="240" w:lineRule="auto"/>
        <w:jc w:val="both"/>
        <w:rPr>
          <w:rFonts w:asciiTheme="minorHAnsi" w:hAnsiTheme="minorHAnsi"/>
          <w:szCs w:val="22"/>
        </w:rPr>
      </w:pPr>
      <w:r w:rsidRPr="00D52C48">
        <w:rPr>
          <w:rFonts w:asciiTheme="minorHAnsi" w:hAnsiTheme="minorHAnsi"/>
          <w:szCs w:val="22"/>
        </w:rPr>
        <w:t xml:space="preserve">Jako źródło informacji o wskaźniku wskazać należy odpowiedni dokument (np. ewidencja </w:t>
      </w:r>
      <w:r w:rsidR="00E93BEA" w:rsidRPr="00D52C48">
        <w:rPr>
          <w:rFonts w:asciiTheme="minorHAnsi" w:hAnsiTheme="minorHAnsi"/>
          <w:szCs w:val="22"/>
        </w:rPr>
        <w:t xml:space="preserve">ludności, dokumentacja techniczna </w:t>
      </w:r>
      <w:r w:rsidRPr="00D52C48">
        <w:rPr>
          <w:rFonts w:asciiTheme="minorHAnsi" w:hAnsiTheme="minorHAnsi"/>
          <w:szCs w:val="22"/>
        </w:rPr>
        <w:t>).</w:t>
      </w:r>
    </w:p>
    <w:p w14:paraId="5459EDA2" w14:textId="77777777" w:rsidR="00FA0CF9" w:rsidRPr="00D52C48" w:rsidRDefault="00FA0CF9" w:rsidP="007650AC">
      <w:pPr>
        <w:spacing w:line="240" w:lineRule="auto"/>
        <w:rPr>
          <w:rFonts w:cs="Arial"/>
          <w:szCs w:val="22"/>
        </w:rPr>
      </w:pPr>
    </w:p>
    <w:p w14:paraId="49A28D7C" w14:textId="68B202B7" w:rsidR="008C495E" w:rsidRPr="00D52C48" w:rsidRDefault="003D3BC5" w:rsidP="007650AC">
      <w:pPr>
        <w:autoSpaceDE w:val="0"/>
        <w:autoSpaceDN w:val="0"/>
        <w:adjustRightInd w:val="0"/>
        <w:spacing w:before="120" w:after="120" w:line="240" w:lineRule="auto"/>
        <w:jc w:val="both"/>
        <w:rPr>
          <w:rFonts w:asciiTheme="minorHAnsi" w:hAnsiTheme="minorHAnsi"/>
          <w:szCs w:val="22"/>
        </w:rPr>
      </w:pPr>
      <w:r w:rsidRPr="00D52C48">
        <w:rPr>
          <w:rFonts w:asciiTheme="minorHAnsi" w:hAnsiTheme="minorHAnsi"/>
          <w:szCs w:val="22"/>
        </w:rPr>
        <w:t xml:space="preserve">W ramach Działania </w:t>
      </w:r>
      <w:r w:rsidR="00FA0CF9" w:rsidRPr="00D52C48">
        <w:rPr>
          <w:rFonts w:asciiTheme="minorHAnsi" w:hAnsiTheme="minorHAnsi"/>
          <w:szCs w:val="22"/>
        </w:rPr>
        <w:t>3.3 e</w:t>
      </w:r>
      <w:r w:rsidRPr="00D52C48">
        <w:rPr>
          <w:rFonts w:asciiTheme="minorHAnsi" w:hAnsiTheme="minorHAnsi"/>
          <w:szCs w:val="22"/>
        </w:rPr>
        <w:t xml:space="preserve"> określono</w:t>
      </w:r>
      <w:bookmarkStart w:id="3" w:name="_GoBack"/>
      <w:bookmarkEnd w:id="3"/>
      <w:r w:rsidRPr="00D52C48">
        <w:rPr>
          <w:rFonts w:asciiTheme="minorHAnsi" w:hAnsiTheme="minorHAnsi"/>
          <w:szCs w:val="22"/>
        </w:rPr>
        <w:t xml:space="preserve"> poniższe wskaźniki</w:t>
      </w:r>
      <w:r w:rsidRPr="00D52C48">
        <w:rPr>
          <w:rFonts w:asciiTheme="minorHAnsi" w:hAnsiTheme="minorHAnsi"/>
          <w:b/>
          <w:szCs w:val="22"/>
        </w:rPr>
        <w:t xml:space="preserve"> rezultatu bezpośredniego</w:t>
      </w:r>
      <w:r w:rsidRPr="00D52C48">
        <w:rPr>
          <w:rFonts w:asciiTheme="minorHAnsi" w:hAnsiTheme="minorHAnsi"/>
          <w:szCs w:val="22"/>
        </w:rPr>
        <w:t>:</w:t>
      </w:r>
    </w:p>
    <w:tbl>
      <w:tblPr>
        <w:tblW w:w="946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2129"/>
        <w:gridCol w:w="1611"/>
        <w:gridCol w:w="3921"/>
        <w:gridCol w:w="1803"/>
      </w:tblGrid>
      <w:tr w:rsidR="005657D8" w:rsidRPr="003D6011" w14:paraId="648E3AD2" w14:textId="77777777" w:rsidTr="007B5608">
        <w:trPr>
          <w:trHeight w:val="20"/>
          <w:jc w:val="center"/>
        </w:trPr>
        <w:tc>
          <w:tcPr>
            <w:tcW w:w="0" w:type="auto"/>
            <w:shd w:val="clear" w:color="auto" w:fill="auto"/>
            <w:vAlign w:val="center"/>
          </w:tcPr>
          <w:p w14:paraId="7C1AB0CD" w14:textId="77777777" w:rsidR="005657D8" w:rsidRPr="003D6011" w:rsidRDefault="005657D8" w:rsidP="00766AC5">
            <w:pPr>
              <w:spacing w:before="0" w:line="240" w:lineRule="auto"/>
              <w:jc w:val="center"/>
              <w:rPr>
                <w:rFonts w:asciiTheme="minorHAnsi" w:hAnsiTheme="minorHAnsi"/>
                <w:b/>
                <w:szCs w:val="22"/>
              </w:rPr>
            </w:pPr>
            <w:r w:rsidRPr="003D6011">
              <w:rPr>
                <w:rFonts w:asciiTheme="minorHAnsi" w:hAnsiTheme="minorHAnsi"/>
                <w:b/>
                <w:szCs w:val="22"/>
              </w:rPr>
              <w:t>Nazwa wskaźnika rezultatu bezpośredniego</w:t>
            </w:r>
          </w:p>
        </w:tc>
        <w:tc>
          <w:tcPr>
            <w:tcW w:w="1611" w:type="dxa"/>
            <w:vAlign w:val="center"/>
          </w:tcPr>
          <w:p w14:paraId="26FD91C0" w14:textId="77777777" w:rsidR="005657D8" w:rsidRPr="003D6011" w:rsidRDefault="005657D8" w:rsidP="00766AC5">
            <w:pPr>
              <w:suppressAutoHyphens/>
              <w:spacing w:before="0" w:line="240" w:lineRule="auto"/>
              <w:jc w:val="center"/>
              <w:rPr>
                <w:rFonts w:asciiTheme="minorHAnsi" w:hAnsiTheme="minorHAnsi"/>
                <w:b/>
                <w:bCs/>
                <w:szCs w:val="22"/>
              </w:rPr>
            </w:pPr>
            <w:r w:rsidRPr="003D6011">
              <w:rPr>
                <w:rFonts w:asciiTheme="minorHAnsi" w:hAnsiTheme="minorHAnsi"/>
                <w:b/>
                <w:bCs/>
                <w:szCs w:val="22"/>
              </w:rPr>
              <w:t>Jednostka miary</w:t>
            </w:r>
          </w:p>
        </w:tc>
        <w:tc>
          <w:tcPr>
            <w:tcW w:w="3921" w:type="dxa"/>
            <w:shd w:val="clear" w:color="auto" w:fill="auto"/>
            <w:vAlign w:val="center"/>
          </w:tcPr>
          <w:p w14:paraId="68CD2E2A" w14:textId="77777777" w:rsidR="005657D8" w:rsidRPr="003D6011" w:rsidRDefault="005657D8" w:rsidP="00766AC5">
            <w:pPr>
              <w:suppressAutoHyphens/>
              <w:spacing w:before="0" w:line="240" w:lineRule="auto"/>
              <w:jc w:val="center"/>
              <w:rPr>
                <w:rFonts w:asciiTheme="minorHAnsi" w:hAnsiTheme="minorHAnsi"/>
                <w:b/>
                <w:szCs w:val="22"/>
              </w:rPr>
            </w:pPr>
            <w:r w:rsidRPr="003D6011">
              <w:rPr>
                <w:rFonts w:asciiTheme="minorHAnsi" w:hAnsiTheme="minorHAnsi"/>
                <w:b/>
                <w:bCs/>
                <w:szCs w:val="22"/>
              </w:rPr>
              <w:t>Definicja wskaźnika</w:t>
            </w:r>
          </w:p>
        </w:tc>
        <w:tc>
          <w:tcPr>
            <w:tcW w:w="1803" w:type="dxa"/>
            <w:vAlign w:val="center"/>
          </w:tcPr>
          <w:p w14:paraId="22710309" w14:textId="77777777" w:rsidR="005657D8" w:rsidRPr="003D6011" w:rsidRDefault="007E025A" w:rsidP="00766AC5">
            <w:pPr>
              <w:suppressAutoHyphens/>
              <w:spacing w:before="0" w:line="240" w:lineRule="auto"/>
              <w:jc w:val="center"/>
              <w:rPr>
                <w:rFonts w:asciiTheme="minorHAnsi" w:hAnsiTheme="minorHAnsi"/>
                <w:b/>
                <w:bCs/>
                <w:szCs w:val="22"/>
              </w:rPr>
            </w:pPr>
            <w:r w:rsidRPr="003D6011">
              <w:rPr>
                <w:rFonts w:asciiTheme="minorHAnsi" w:hAnsiTheme="minorHAnsi"/>
                <w:b/>
                <w:bCs/>
                <w:szCs w:val="22"/>
              </w:rPr>
              <w:t>Rodzaj dokumentu, w </w:t>
            </w:r>
            <w:r w:rsidR="005657D8" w:rsidRPr="003D6011">
              <w:rPr>
                <w:rFonts w:asciiTheme="minorHAnsi" w:hAnsiTheme="minorHAnsi"/>
                <w:b/>
                <w:bCs/>
                <w:szCs w:val="22"/>
              </w:rPr>
              <w:t>którym określono wskaźnik</w:t>
            </w:r>
          </w:p>
        </w:tc>
      </w:tr>
      <w:tr w:rsidR="003D6011" w:rsidRPr="003D6011" w14:paraId="227BDE4E" w14:textId="77777777" w:rsidTr="007B5608">
        <w:trPr>
          <w:trHeight w:val="20"/>
          <w:jc w:val="center"/>
        </w:trPr>
        <w:tc>
          <w:tcPr>
            <w:tcW w:w="0" w:type="auto"/>
            <w:shd w:val="clear" w:color="auto" w:fill="auto"/>
            <w:vAlign w:val="center"/>
          </w:tcPr>
          <w:p w14:paraId="0C6EE2AE" w14:textId="5DDAF3E6" w:rsidR="003D6011" w:rsidRPr="003D6011" w:rsidRDefault="003D6011" w:rsidP="00766AC5">
            <w:pPr>
              <w:spacing w:before="0" w:line="240" w:lineRule="auto"/>
              <w:jc w:val="center"/>
              <w:rPr>
                <w:rFonts w:asciiTheme="minorHAnsi" w:hAnsiTheme="minorHAnsi"/>
                <w:szCs w:val="22"/>
              </w:rPr>
            </w:pPr>
            <w:r w:rsidRPr="003D6011">
              <w:rPr>
                <w:rFonts w:asciiTheme="minorHAnsi" w:hAnsiTheme="minorHAnsi"/>
                <w:szCs w:val="22"/>
              </w:rPr>
              <w:t>Zmniejszenie rocznego zużycia energii pierwotnej w budynkach publicznych</w:t>
            </w:r>
          </w:p>
        </w:tc>
        <w:tc>
          <w:tcPr>
            <w:tcW w:w="1611" w:type="dxa"/>
            <w:vAlign w:val="center"/>
          </w:tcPr>
          <w:p w14:paraId="14FAE064" w14:textId="272BCF23" w:rsidR="003D6011" w:rsidRPr="003D6011" w:rsidRDefault="003D6011" w:rsidP="00766AC5">
            <w:pPr>
              <w:suppressAutoHyphens/>
              <w:spacing w:before="0" w:line="240" w:lineRule="auto"/>
              <w:jc w:val="center"/>
              <w:rPr>
                <w:rFonts w:asciiTheme="minorHAnsi" w:hAnsiTheme="minorHAnsi"/>
                <w:bCs/>
                <w:szCs w:val="22"/>
              </w:rPr>
            </w:pPr>
            <w:r w:rsidRPr="003D6011">
              <w:rPr>
                <w:rFonts w:asciiTheme="minorHAnsi" w:hAnsiTheme="minorHAnsi"/>
                <w:bCs/>
                <w:szCs w:val="22"/>
              </w:rPr>
              <w:t>[kWh/rok]</w:t>
            </w:r>
          </w:p>
        </w:tc>
        <w:tc>
          <w:tcPr>
            <w:tcW w:w="3921" w:type="dxa"/>
            <w:shd w:val="clear" w:color="auto" w:fill="auto"/>
            <w:vAlign w:val="center"/>
          </w:tcPr>
          <w:p w14:paraId="3CAD61CF" w14:textId="77777777" w:rsidR="003D6011" w:rsidRPr="003D6011" w:rsidRDefault="003D6011" w:rsidP="003D6011">
            <w:pPr>
              <w:autoSpaceDE w:val="0"/>
              <w:autoSpaceDN w:val="0"/>
              <w:adjustRightInd w:val="0"/>
              <w:spacing w:before="0" w:line="240" w:lineRule="auto"/>
              <w:jc w:val="both"/>
              <w:rPr>
                <w:rFonts w:asciiTheme="minorHAnsi" w:hAnsiTheme="minorHAnsi"/>
                <w:szCs w:val="22"/>
              </w:rPr>
            </w:pPr>
            <w:r w:rsidRPr="003D6011">
              <w:rPr>
                <w:rFonts w:asciiTheme="minorHAnsi" w:hAnsiTheme="minorHAnsi"/>
                <w:szCs w:val="22"/>
              </w:rPr>
              <w:t>Tłumaczenie robocze:</w:t>
            </w:r>
          </w:p>
          <w:p w14:paraId="628E14EB" w14:textId="77777777" w:rsidR="003D6011" w:rsidRPr="003D6011" w:rsidRDefault="003D6011" w:rsidP="003D6011">
            <w:pPr>
              <w:autoSpaceDE w:val="0"/>
              <w:autoSpaceDN w:val="0"/>
              <w:adjustRightInd w:val="0"/>
              <w:spacing w:before="0" w:line="240" w:lineRule="auto"/>
              <w:jc w:val="both"/>
              <w:rPr>
                <w:rFonts w:asciiTheme="minorHAnsi" w:hAnsiTheme="minorHAnsi"/>
                <w:szCs w:val="22"/>
              </w:rPr>
            </w:pPr>
            <w:r w:rsidRPr="003D6011">
              <w:rPr>
                <w:rFonts w:asciiTheme="minorHAnsi" w:hAnsiTheme="minorHAnsi"/>
                <w:szCs w:val="22"/>
              </w:rPr>
              <w:t xml:space="preserve">Wyliczenia są oparte na świadectwie charakterystyki energetycznej budynków (patrz Art.12.1.b Dyrektywy 010/31/UE oraz przepisy ustawy z dnia 29 sierpnia 2014 r. o charakterystyce energetycznej budynków wdrażającej dyrektywę). Zgodnie z terminami określonymi w dyrektywie, wskaźnik musi dotyczyć wszystkich budynków publicznych o powierzchni użytkowej powyżej 500 m2 i odtworzonej przy wsparciu z funduszy strukturalnych. Jeśli budowa została rozpoczęta po 9 lipca 2015 r., próg w przypadku budynków publicznych jest obniżony do 250 m2 powierzchni użytkowej. IZ może ująć w obliczeniach budynki o powierzchni użytkowej mniejszej niż 250 m2 (lub 500 m2 przed 9.07.2015 r.). </w:t>
            </w:r>
          </w:p>
          <w:p w14:paraId="7FC56996" w14:textId="77777777" w:rsidR="003D6011" w:rsidRPr="003D6011" w:rsidRDefault="003D6011" w:rsidP="003D6011">
            <w:pPr>
              <w:autoSpaceDE w:val="0"/>
              <w:autoSpaceDN w:val="0"/>
              <w:adjustRightInd w:val="0"/>
              <w:spacing w:before="0" w:line="240" w:lineRule="auto"/>
              <w:jc w:val="both"/>
              <w:rPr>
                <w:rFonts w:asciiTheme="minorHAnsi" w:hAnsiTheme="minorHAnsi"/>
                <w:szCs w:val="22"/>
              </w:rPr>
            </w:pPr>
            <w:r w:rsidRPr="003D6011">
              <w:rPr>
                <w:rFonts w:asciiTheme="minorHAnsi" w:hAnsiTheme="minorHAnsi"/>
                <w:szCs w:val="22"/>
              </w:rPr>
              <w:t xml:space="preserve">Wartość jest wyliczana na podstawie świadectw charakterystyki energetycznej wydanych przed i po przebudowie/ odbudowie. </w:t>
            </w:r>
          </w:p>
          <w:p w14:paraId="5370A71D" w14:textId="77777777" w:rsidR="003D6011" w:rsidRPr="003D6011" w:rsidRDefault="003D6011" w:rsidP="003D6011">
            <w:pPr>
              <w:autoSpaceDE w:val="0"/>
              <w:autoSpaceDN w:val="0"/>
              <w:adjustRightInd w:val="0"/>
              <w:spacing w:before="0" w:line="240" w:lineRule="auto"/>
              <w:jc w:val="both"/>
              <w:rPr>
                <w:rFonts w:asciiTheme="minorHAnsi" w:hAnsiTheme="minorHAnsi"/>
                <w:szCs w:val="22"/>
              </w:rPr>
            </w:pPr>
          </w:p>
          <w:p w14:paraId="23C7D4AF" w14:textId="77777777" w:rsidR="003D6011" w:rsidRPr="003D6011" w:rsidRDefault="003D6011" w:rsidP="003D6011">
            <w:pPr>
              <w:autoSpaceDE w:val="0"/>
              <w:autoSpaceDN w:val="0"/>
              <w:adjustRightInd w:val="0"/>
              <w:spacing w:before="0" w:line="240" w:lineRule="auto"/>
              <w:jc w:val="both"/>
              <w:rPr>
                <w:rFonts w:asciiTheme="minorHAnsi" w:hAnsiTheme="minorHAnsi"/>
                <w:szCs w:val="22"/>
                <w:lang w:val="en-US"/>
              </w:rPr>
            </w:pPr>
            <w:r w:rsidRPr="003D6011">
              <w:rPr>
                <w:rFonts w:asciiTheme="minorHAnsi" w:hAnsiTheme="minorHAnsi"/>
                <w:szCs w:val="22"/>
                <w:lang w:val="en-US"/>
              </w:rPr>
              <w:t xml:space="preserve">Calculations are based on the energy </w:t>
            </w:r>
            <w:r w:rsidRPr="003D6011">
              <w:rPr>
                <w:rFonts w:asciiTheme="minorHAnsi" w:hAnsiTheme="minorHAnsi"/>
                <w:szCs w:val="22"/>
                <w:lang w:val="en-US"/>
              </w:rPr>
              <w:lastRenderedPageBreak/>
              <w:t xml:space="preserve">certificate of buildings (see Art.12.1.b of Directive 010/31/EU). In line with the deadlines set in the Directive, the indicator must apply to all public buildings above 500m2 total useful area and were reconstructed using Structural Funds support. If the construction starts after 9 July 2015, the threshold for public buildings decreases to 250 m2 total useful area. The MA may include buildings in the calculation </w:t>
            </w:r>
            <w:proofErr w:type="spellStart"/>
            <w:r w:rsidRPr="003D6011">
              <w:rPr>
                <w:rFonts w:asciiTheme="minorHAnsi" w:hAnsiTheme="minorHAnsi"/>
                <w:szCs w:val="22"/>
                <w:lang w:val="en-US"/>
              </w:rPr>
              <w:t>withless</w:t>
            </w:r>
            <w:proofErr w:type="spellEnd"/>
            <w:r w:rsidRPr="003D6011">
              <w:rPr>
                <w:rFonts w:asciiTheme="minorHAnsi" w:hAnsiTheme="minorHAnsi"/>
                <w:szCs w:val="22"/>
                <w:lang w:val="en-US"/>
              </w:rPr>
              <w:t xml:space="preserve"> than 250m2 (or 500m 2 before 9/7/2015).</w:t>
            </w:r>
          </w:p>
          <w:p w14:paraId="777F1220" w14:textId="44370C8C" w:rsidR="003D6011" w:rsidRPr="003D6011" w:rsidRDefault="003D6011" w:rsidP="003D6011">
            <w:pPr>
              <w:suppressAutoHyphens/>
              <w:spacing w:before="0" w:line="240" w:lineRule="auto"/>
              <w:jc w:val="both"/>
              <w:rPr>
                <w:rFonts w:asciiTheme="minorHAnsi" w:hAnsiTheme="minorHAnsi"/>
                <w:bCs/>
                <w:szCs w:val="22"/>
                <w:lang w:val="en-US"/>
              </w:rPr>
            </w:pPr>
            <w:r w:rsidRPr="003D6011">
              <w:rPr>
                <w:rFonts w:asciiTheme="minorHAnsi" w:hAnsiTheme="minorHAnsi"/>
                <w:szCs w:val="22"/>
                <w:lang w:val="en-US"/>
              </w:rPr>
              <w:t>Value will be calculated from the energy certificates issued before and after the reconstruction.</w:t>
            </w:r>
          </w:p>
        </w:tc>
        <w:tc>
          <w:tcPr>
            <w:tcW w:w="1803" w:type="dxa"/>
            <w:vAlign w:val="center"/>
          </w:tcPr>
          <w:p w14:paraId="60E73F7F" w14:textId="77519D03" w:rsidR="003D6011" w:rsidRPr="003D6011" w:rsidRDefault="003D6011" w:rsidP="00766AC5">
            <w:pPr>
              <w:suppressAutoHyphens/>
              <w:spacing w:before="0" w:line="240" w:lineRule="auto"/>
              <w:jc w:val="center"/>
              <w:rPr>
                <w:rFonts w:asciiTheme="minorHAnsi" w:hAnsiTheme="minorHAnsi"/>
                <w:bCs/>
                <w:szCs w:val="22"/>
              </w:rPr>
            </w:pPr>
            <w:r w:rsidRPr="003D6011">
              <w:rPr>
                <w:rFonts w:asciiTheme="minorHAnsi" w:hAnsiTheme="minorHAnsi"/>
                <w:szCs w:val="22"/>
              </w:rPr>
              <w:lastRenderedPageBreak/>
              <w:t>RPO WD 2014-2020</w:t>
            </w:r>
          </w:p>
        </w:tc>
      </w:tr>
      <w:tr w:rsidR="00FA0CF9" w:rsidRPr="003D6011" w14:paraId="16E86301" w14:textId="77777777" w:rsidTr="007B5608">
        <w:trPr>
          <w:trHeight w:val="20"/>
          <w:jc w:val="center"/>
        </w:trPr>
        <w:tc>
          <w:tcPr>
            <w:tcW w:w="0" w:type="auto"/>
            <w:shd w:val="clear" w:color="auto" w:fill="auto"/>
          </w:tcPr>
          <w:p w14:paraId="6C62A257" w14:textId="051D97F0" w:rsidR="00FA0CF9" w:rsidRPr="003D6011" w:rsidRDefault="00FA0CF9" w:rsidP="00766AC5">
            <w:pPr>
              <w:pStyle w:val="Default"/>
              <w:rPr>
                <w:rFonts w:asciiTheme="minorHAnsi" w:hAnsiTheme="minorHAnsi"/>
                <w:sz w:val="22"/>
                <w:szCs w:val="22"/>
              </w:rPr>
            </w:pPr>
            <w:r w:rsidRPr="003D6011">
              <w:rPr>
                <w:rFonts w:asciiTheme="minorHAnsi" w:hAnsiTheme="minorHAnsi"/>
                <w:sz w:val="22"/>
                <w:szCs w:val="22"/>
              </w:rPr>
              <w:t>Szacowany roczny spadek emisji gazów cieplarnianych</w:t>
            </w:r>
          </w:p>
        </w:tc>
        <w:tc>
          <w:tcPr>
            <w:tcW w:w="1611" w:type="dxa"/>
          </w:tcPr>
          <w:p w14:paraId="1EFACC23" w14:textId="09E11DC6" w:rsidR="00FA0CF9" w:rsidRPr="003D6011" w:rsidRDefault="00FA0CF9" w:rsidP="003F1889">
            <w:pPr>
              <w:spacing w:before="0" w:line="240" w:lineRule="auto"/>
              <w:jc w:val="center"/>
              <w:rPr>
                <w:rFonts w:asciiTheme="minorHAnsi" w:hAnsiTheme="minorHAnsi"/>
              </w:rPr>
            </w:pPr>
            <w:r w:rsidRPr="003D6011">
              <w:rPr>
                <w:rFonts w:asciiTheme="minorHAnsi" w:hAnsiTheme="minorHAnsi"/>
                <w:szCs w:val="22"/>
              </w:rPr>
              <w:t>Tony równoważnika CO2</w:t>
            </w:r>
          </w:p>
        </w:tc>
        <w:tc>
          <w:tcPr>
            <w:tcW w:w="3921" w:type="dxa"/>
            <w:shd w:val="clear" w:color="auto" w:fill="auto"/>
          </w:tcPr>
          <w:p w14:paraId="0BC7DD41" w14:textId="77777777" w:rsidR="00FA0CF9" w:rsidRPr="003D6011" w:rsidRDefault="007B5608" w:rsidP="007B5608">
            <w:pPr>
              <w:autoSpaceDE w:val="0"/>
              <w:autoSpaceDN w:val="0"/>
              <w:adjustRightInd w:val="0"/>
              <w:spacing w:line="240" w:lineRule="auto"/>
              <w:jc w:val="both"/>
              <w:rPr>
                <w:rFonts w:asciiTheme="minorHAnsi" w:hAnsiTheme="minorHAnsi"/>
                <w:szCs w:val="22"/>
              </w:rPr>
            </w:pPr>
            <w:r w:rsidRPr="003D6011">
              <w:rPr>
                <w:rFonts w:asciiTheme="minorHAnsi" w:hAnsiTheme="minorHAnsi"/>
                <w:szCs w:val="22"/>
              </w:rPr>
              <w:t xml:space="preserve">Wersja robocza tłumaczenia: Wskaźnik ten jest liczony dla interwencji bezpośrednio zwiększających produkcję energii ze źródeł odnawialnych lub zmniejszających zużycie energii za pomocą działań uzyskujących oszczędność energii, dlatego też jego stosowanie jest obowiązkowe tylko w przypadkach, gdzie wskaźniki te są istotne. Stosowanie wskaźnika w przypadku innych interwencji, gdzie możliwe są skutki emisji gazów cieplarnianych, jest opcjonalne przy użyciu metodologii opracowanej przez IZ. Wskaźnik pokaże całkowity szacowany roczny spadek na koniec okresu, a nie całkowity spadek w całym okresie. W przypadku produkcji energii odnawialnej, prognoza opiera się na ilości energii pierwotnej produkowanej przez wsparte przedsiębiorstwa/ podmioty w danym roku (albo rok po zakończeniu projektu lub rok kalendarzowy po zakończeniu projektu). Energia odnawialna powinna być neutralna pod względem emisji gazów cieplarnianych i powinna zastąpić produkcję energii ze źródeł nieodnawialnych. Wpływ emisji gazów cieplarnianych w przypadku energii nieodnawialnej jest szacowany poprzez całkowitą emisję przez państwo członkowskie gazów cieplarnianych na jednostkę produkcji energii nieodnawialnej. W przypadku działań uzyskujących oszczędność energii, prognoza opiera się na ilości energii </w:t>
            </w:r>
            <w:r w:rsidRPr="003D6011">
              <w:rPr>
                <w:rFonts w:asciiTheme="minorHAnsi" w:hAnsiTheme="minorHAnsi"/>
                <w:szCs w:val="22"/>
              </w:rPr>
              <w:lastRenderedPageBreak/>
              <w:t>pierwotnej oszczędzonej w danym roku w ramach wspieranych operacji (albo rok po zakończeniu projektu, albo rok kalendarzowy po zakończeniu projektu). Zaoszczędzona energia ma zastąpić produkcję energii ze źródeł nieodnawialnych. Wpływ emisji gazów cieplarnianych w przypadku energii nieodnawialnej jest szacowany poprzez całkowitą emisję przez państwo członkowskie gazów</w:t>
            </w:r>
          </w:p>
          <w:p w14:paraId="16760DBE" w14:textId="55E5FF9E" w:rsidR="007B5608" w:rsidRPr="003D6011" w:rsidRDefault="007B5608" w:rsidP="007B5608">
            <w:pPr>
              <w:autoSpaceDE w:val="0"/>
              <w:autoSpaceDN w:val="0"/>
              <w:adjustRightInd w:val="0"/>
              <w:spacing w:line="240" w:lineRule="auto"/>
              <w:jc w:val="both"/>
              <w:rPr>
                <w:rFonts w:asciiTheme="minorHAnsi" w:hAnsiTheme="minorHAnsi"/>
                <w:szCs w:val="22"/>
                <w:lang w:val="en-US"/>
              </w:rPr>
            </w:pPr>
            <w:r w:rsidRPr="003D6011">
              <w:rPr>
                <w:rFonts w:asciiTheme="minorHAnsi" w:hAnsiTheme="minorHAnsi"/>
                <w:szCs w:val="22"/>
              </w:rPr>
              <w:t xml:space="preserve">cieplarnianych na jednostkę produkcji energii nieodnawialnej. Szacunkowa wartość spadku emisji gazów cieplarnianych wynika wyłącznie z przeprowadzonych działań w tym zakresie, nie uwzględnia szacowanego spadku spowodowanego innymi czynnikami (np. ograniczeniem produkcji, zmiany profilu produkcji). </w:t>
            </w:r>
            <w:r w:rsidRPr="003D6011">
              <w:rPr>
                <w:rFonts w:asciiTheme="minorHAnsi" w:hAnsiTheme="minorHAnsi"/>
                <w:szCs w:val="22"/>
                <w:lang w:val="en-US"/>
              </w:rPr>
              <w:t xml:space="preserve">This indicator is calculated for interventions directly aiming to increase renewable energy production or to decrease energy consumption through energy saving measures, thus its use is mandatory only where these indicators are relevant. Uses for other interventions with possible GHG impact are optional with methodology developed by the MA. The indicator will show the total estimated of annual decrease by the end of the period, not the total decrease throughout the period. In case of renewable energy production, the estimate is based on the amount of primary energy produced by supported facilities in a given year (either one year following project completion or the calendar year after project completion). Renewable energy is supposed to be GHG neutral and replacing non-renewable energy production. GHG impact of nonrenewable energy is estimated through the MS total GHG emission per unit of non-renewable energy production. In case of energy saving measures, the estimate is based on the amount of primary energy saved through in a given year supported operations (either one year following project completion or the calendar year </w:t>
            </w:r>
            <w:r w:rsidRPr="003D6011">
              <w:rPr>
                <w:rFonts w:asciiTheme="minorHAnsi" w:hAnsiTheme="minorHAnsi"/>
                <w:szCs w:val="22"/>
                <w:lang w:val="en-US"/>
              </w:rPr>
              <w:lastRenderedPageBreak/>
              <w:t>after project completion). Saved energy is supposed to be replacing nonrenewable energy production. GHG impact of non-renewable energy is estimated through the MS total GHG emission per unit of nonrenewable energy production</w:t>
            </w:r>
          </w:p>
        </w:tc>
        <w:tc>
          <w:tcPr>
            <w:tcW w:w="1803" w:type="dxa"/>
          </w:tcPr>
          <w:p w14:paraId="49FA0040" w14:textId="78AF475C" w:rsidR="00FA0CF9" w:rsidRPr="003D6011" w:rsidRDefault="003D6011" w:rsidP="003F1889">
            <w:pPr>
              <w:spacing w:line="240" w:lineRule="auto"/>
              <w:jc w:val="center"/>
              <w:rPr>
                <w:rFonts w:asciiTheme="minorHAnsi" w:eastAsiaTheme="minorHAnsi" w:hAnsiTheme="minorHAnsi"/>
                <w:szCs w:val="22"/>
                <w:lang w:eastAsia="en-US"/>
              </w:rPr>
            </w:pPr>
            <w:r w:rsidRPr="003D6011">
              <w:rPr>
                <w:rFonts w:asciiTheme="minorHAnsi" w:hAnsiTheme="minorHAnsi"/>
                <w:szCs w:val="22"/>
              </w:rPr>
              <w:lastRenderedPageBreak/>
              <w:t>RPO WD 2014-2020</w:t>
            </w:r>
          </w:p>
        </w:tc>
      </w:tr>
      <w:tr w:rsidR="00FA0CF9" w:rsidRPr="003D6011" w14:paraId="7CC54726" w14:textId="77777777" w:rsidTr="007B5608">
        <w:trPr>
          <w:trHeight w:val="20"/>
          <w:jc w:val="center"/>
        </w:trPr>
        <w:tc>
          <w:tcPr>
            <w:tcW w:w="0" w:type="auto"/>
            <w:shd w:val="clear" w:color="auto" w:fill="auto"/>
          </w:tcPr>
          <w:p w14:paraId="7D7975C1" w14:textId="028AA5A4" w:rsidR="00FA0CF9" w:rsidRPr="003D6011" w:rsidRDefault="00FA0CF9" w:rsidP="00766AC5">
            <w:pPr>
              <w:pStyle w:val="Default"/>
              <w:rPr>
                <w:rFonts w:asciiTheme="minorHAnsi" w:hAnsiTheme="minorHAnsi"/>
                <w:sz w:val="22"/>
                <w:szCs w:val="22"/>
              </w:rPr>
            </w:pPr>
            <w:r w:rsidRPr="003D6011">
              <w:rPr>
                <w:rFonts w:asciiTheme="minorHAnsi" w:hAnsiTheme="minorHAnsi"/>
                <w:sz w:val="22"/>
                <w:szCs w:val="22"/>
              </w:rPr>
              <w:lastRenderedPageBreak/>
              <w:t xml:space="preserve">Roczny spadek emisji PM 10  </w:t>
            </w:r>
          </w:p>
        </w:tc>
        <w:tc>
          <w:tcPr>
            <w:tcW w:w="1611" w:type="dxa"/>
          </w:tcPr>
          <w:p w14:paraId="37A76A05" w14:textId="691F8794" w:rsidR="00FA0CF9" w:rsidRPr="003D6011" w:rsidRDefault="00FA0CF9" w:rsidP="003F1889">
            <w:pPr>
              <w:spacing w:before="0" w:line="240" w:lineRule="auto"/>
              <w:jc w:val="center"/>
            </w:pPr>
            <w:r w:rsidRPr="003D6011">
              <w:t>tony</w:t>
            </w:r>
          </w:p>
        </w:tc>
        <w:tc>
          <w:tcPr>
            <w:tcW w:w="3921" w:type="dxa"/>
            <w:shd w:val="clear" w:color="auto" w:fill="auto"/>
          </w:tcPr>
          <w:p w14:paraId="2C9B13DD" w14:textId="7E02C085" w:rsidR="00FA0CF9" w:rsidRPr="003D6011" w:rsidRDefault="00A22869" w:rsidP="00A22869">
            <w:pPr>
              <w:autoSpaceDE w:val="0"/>
              <w:autoSpaceDN w:val="0"/>
              <w:adjustRightInd w:val="0"/>
              <w:spacing w:line="240" w:lineRule="auto"/>
              <w:jc w:val="both"/>
              <w:rPr>
                <w:rFonts w:asciiTheme="minorHAnsi" w:hAnsiTheme="minorHAnsi"/>
                <w:szCs w:val="22"/>
              </w:rPr>
            </w:pPr>
            <w:r w:rsidRPr="003D6011">
              <w:rPr>
                <w:rFonts w:asciiTheme="minorHAnsi" w:hAnsiTheme="minorHAnsi"/>
                <w:szCs w:val="22"/>
              </w:rPr>
              <w:t>Roczny spadek emisji pyłów PM 10 wskutek realizacji projektu (różnica pomiędzy emisją przed realizacją projektu a emisją po realizacji projektu) wyszacowany na podstawie prognozowanego zużycia paliwa albo wyliczony na podstawie rzeczywistego zużycia rok po realizacji projektu, tak aby okres rozliczeniowy obejmował pełny sezon grzewczy. Wskaźnik obliczany dla źródła ciepła podlegającego wymianie.</w:t>
            </w:r>
          </w:p>
        </w:tc>
        <w:tc>
          <w:tcPr>
            <w:tcW w:w="1803" w:type="dxa"/>
          </w:tcPr>
          <w:p w14:paraId="5455DB27" w14:textId="0E7AE281" w:rsidR="00FA0CF9" w:rsidRPr="003D6011" w:rsidRDefault="003D6011" w:rsidP="003F1889">
            <w:pPr>
              <w:spacing w:line="240" w:lineRule="auto"/>
              <w:jc w:val="center"/>
              <w:rPr>
                <w:rFonts w:cs="Arial"/>
              </w:rPr>
            </w:pPr>
            <w:r w:rsidRPr="003D6011">
              <w:rPr>
                <w:rFonts w:asciiTheme="minorHAnsi" w:hAnsiTheme="minorHAnsi"/>
                <w:szCs w:val="22"/>
              </w:rPr>
              <w:t>SZOOP RPO  WD 2014-2020</w:t>
            </w:r>
          </w:p>
        </w:tc>
      </w:tr>
      <w:tr w:rsidR="00FA0CF9" w:rsidRPr="003D6011" w14:paraId="43014779" w14:textId="77777777" w:rsidTr="007B5608">
        <w:trPr>
          <w:trHeight w:val="20"/>
          <w:jc w:val="center"/>
        </w:trPr>
        <w:tc>
          <w:tcPr>
            <w:tcW w:w="0" w:type="auto"/>
            <w:shd w:val="clear" w:color="auto" w:fill="auto"/>
          </w:tcPr>
          <w:p w14:paraId="267D67CF" w14:textId="2FF0D9F2" w:rsidR="00FA0CF9" w:rsidRPr="003D6011" w:rsidRDefault="00FA0CF9" w:rsidP="00766AC5">
            <w:pPr>
              <w:pStyle w:val="Default"/>
              <w:rPr>
                <w:rFonts w:asciiTheme="minorHAnsi" w:hAnsiTheme="minorHAnsi"/>
                <w:sz w:val="22"/>
                <w:szCs w:val="22"/>
              </w:rPr>
            </w:pPr>
            <w:r w:rsidRPr="003D6011">
              <w:rPr>
                <w:rFonts w:asciiTheme="minorHAnsi" w:hAnsiTheme="minorHAnsi"/>
                <w:sz w:val="22"/>
                <w:szCs w:val="22"/>
              </w:rPr>
              <w:t>Roczny spadek emisji PM 2,5</w:t>
            </w:r>
          </w:p>
        </w:tc>
        <w:tc>
          <w:tcPr>
            <w:tcW w:w="1611" w:type="dxa"/>
          </w:tcPr>
          <w:p w14:paraId="34043BE1" w14:textId="7C57E7B3" w:rsidR="00FA0CF9" w:rsidRPr="003D6011" w:rsidRDefault="00FA0CF9" w:rsidP="003F1889">
            <w:pPr>
              <w:spacing w:before="0" w:line="240" w:lineRule="auto"/>
              <w:jc w:val="center"/>
            </w:pPr>
            <w:r w:rsidRPr="003D6011">
              <w:t>tony</w:t>
            </w:r>
          </w:p>
        </w:tc>
        <w:tc>
          <w:tcPr>
            <w:tcW w:w="3921" w:type="dxa"/>
            <w:shd w:val="clear" w:color="auto" w:fill="auto"/>
          </w:tcPr>
          <w:p w14:paraId="2179EBC0" w14:textId="35A60197" w:rsidR="00FA0CF9" w:rsidRPr="003D6011" w:rsidRDefault="00A22869" w:rsidP="00A22869">
            <w:pPr>
              <w:autoSpaceDE w:val="0"/>
              <w:autoSpaceDN w:val="0"/>
              <w:adjustRightInd w:val="0"/>
              <w:spacing w:line="240" w:lineRule="auto"/>
              <w:jc w:val="both"/>
              <w:rPr>
                <w:rFonts w:asciiTheme="minorHAnsi" w:hAnsiTheme="minorHAnsi"/>
                <w:szCs w:val="22"/>
              </w:rPr>
            </w:pPr>
            <w:r w:rsidRPr="003D6011">
              <w:rPr>
                <w:rFonts w:asciiTheme="minorHAnsi" w:hAnsiTheme="minorHAnsi"/>
                <w:szCs w:val="22"/>
              </w:rPr>
              <w:t>Roczny spadek emisji pyłów PM 2,5 wskutek realizacji projektu (różnica pomiędzy emisją przed realizacją projektu a emisją po realizacji projektu) wyszacowany na podstawie prognozowanego zużycia paliwa albo wyliczony na podstawie rzeczywistego zużycia rok po realizacji projektu, tak aby okres rozliczeniowy obejmował pełny sezon grzewczy. Wskaźnik obliczany dla źródła ciepła podlegającego wymianie.</w:t>
            </w:r>
          </w:p>
        </w:tc>
        <w:tc>
          <w:tcPr>
            <w:tcW w:w="1803" w:type="dxa"/>
          </w:tcPr>
          <w:p w14:paraId="5D55E363" w14:textId="5619E772" w:rsidR="00FA0CF9" w:rsidRPr="003D6011" w:rsidRDefault="003D6011" w:rsidP="003F1889">
            <w:pPr>
              <w:spacing w:line="240" w:lineRule="auto"/>
              <w:jc w:val="center"/>
              <w:rPr>
                <w:rFonts w:cs="Arial"/>
              </w:rPr>
            </w:pPr>
            <w:r w:rsidRPr="003D6011">
              <w:rPr>
                <w:rFonts w:asciiTheme="minorHAnsi" w:hAnsiTheme="minorHAnsi"/>
                <w:szCs w:val="22"/>
              </w:rPr>
              <w:t>SZOOP RPO  WD 2014-2020</w:t>
            </w:r>
          </w:p>
        </w:tc>
      </w:tr>
      <w:tr w:rsidR="00FA0CF9" w:rsidRPr="003D6011" w14:paraId="66DD4809" w14:textId="77777777" w:rsidTr="007B5608">
        <w:trPr>
          <w:trHeight w:val="20"/>
          <w:jc w:val="center"/>
        </w:trPr>
        <w:tc>
          <w:tcPr>
            <w:tcW w:w="0" w:type="auto"/>
            <w:shd w:val="clear" w:color="auto" w:fill="auto"/>
          </w:tcPr>
          <w:p w14:paraId="794A5FB9" w14:textId="22A083CE" w:rsidR="00FA0CF9" w:rsidRPr="003D6011" w:rsidRDefault="00FA0CF9" w:rsidP="00766AC5">
            <w:pPr>
              <w:pStyle w:val="Default"/>
              <w:rPr>
                <w:rFonts w:asciiTheme="minorHAnsi" w:hAnsiTheme="minorHAnsi"/>
                <w:sz w:val="22"/>
                <w:szCs w:val="22"/>
              </w:rPr>
            </w:pPr>
            <w:r w:rsidRPr="003D6011">
              <w:rPr>
                <w:rFonts w:asciiTheme="minorHAnsi" w:hAnsiTheme="minorHAnsi"/>
                <w:sz w:val="22"/>
                <w:szCs w:val="22"/>
              </w:rPr>
              <w:t>Ilość zaoszczędzonej energii cieplnej</w:t>
            </w:r>
          </w:p>
        </w:tc>
        <w:tc>
          <w:tcPr>
            <w:tcW w:w="1611" w:type="dxa"/>
          </w:tcPr>
          <w:p w14:paraId="35472961" w14:textId="027EE94D" w:rsidR="00FA0CF9" w:rsidRPr="003D6011" w:rsidRDefault="00FA0CF9" w:rsidP="003F1889">
            <w:pPr>
              <w:spacing w:before="0" w:line="240" w:lineRule="auto"/>
              <w:jc w:val="center"/>
            </w:pPr>
            <w:r w:rsidRPr="003D6011">
              <w:t>GJ/rok</w:t>
            </w:r>
          </w:p>
        </w:tc>
        <w:tc>
          <w:tcPr>
            <w:tcW w:w="3921" w:type="dxa"/>
            <w:shd w:val="clear" w:color="auto" w:fill="auto"/>
          </w:tcPr>
          <w:p w14:paraId="121DF3A3" w14:textId="77777777" w:rsidR="00FA0CF9" w:rsidRPr="003D6011" w:rsidRDefault="007B5608" w:rsidP="007B5608">
            <w:pPr>
              <w:autoSpaceDE w:val="0"/>
              <w:autoSpaceDN w:val="0"/>
              <w:adjustRightInd w:val="0"/>
              <w:spacing w:before="0" w:line="240" w:lineRule="auto"/>
              <w:jc w:val="both"/>
              <w:rPr>
                <w:rFonts w:asciiTheme="minorHAnsi" w:hAnsiTheme="minorHAnsi"/>
                <w:szCs w:val="22"/>
              </w:rPr>
            </w:pPr>
            <w:r w:rsidRPr="003D6011">
              <w:rPr>
                <w:rFonts w:asciiTheme="minorHAnsi" w:hAnsiTheme="minorHAnsi"/>
                <w:szCs w:val="22"/>
              </w:rPr>
              <w:t>Ilość zaoszczędzonej w wyniku realizacji projektu energii cieplnej w dystrybucji w ciągu pełnego roku po zakończeniu projektu. W przypadku przedsiębiorstw produkcyjnych: różnica między rocznym zużyciem energii cieplnej w roku bazowym w stosunku do rocznego zużycia energii cieplnej po zakończeniu projektu, skorygowana w przypadku zmiany wielkości produkcji.</w:t>
            </w:r>
          </w:p>
          <w:p w14:paraId="060B3ABE" w14:textId="06307A73" w:rsidR="007B5608" w:rsidRPr="003D6011" w:rsidRDefault="007B5608" w:rsidP="007B5608">
            <w:pPr>
              <w:autoSpaceDE w:val="0"/>
              <w:autoSpaceDN w:val="0"/>
              <w:adjustRightInd w:val="0"/>
              <w:spacing w:before="0" w:line="240" w:lineRule="auto"/>
              <w:jc w:val="both"/>
              <w:rPr>
                <w:rFonts w:asciiTheme="minorHAnsi" w:hAnsiTheme="minorHAnsi"/>
                <w:szCs w:val="22"/>
              </w:rPr>
            </w:pPr>
            <w:r w:rsidRPr="003D6011">
              <w:rPr>
                <w:rFonts w:asciiTheme="minorHAnsi" w:hAnsiTheme="minorHAnsi"/>
                <w:szCs w:val="22"/>
              </w:rPr>
              <w:t>W przypadku modernizacji energetycznej budynków: różnica między rocznym zużyciem energii cieplnej w roku bazowym w stosunku do rocznego zużycia energii cieplnej po zakończeniu projektu. Energia cieplna – energia w wodzie gorącej, parze lub w innych nośnikach.</w:t>
            </w:r>
          </w:p>
        </w:tc>
        <w:tc>
          <w:tcPr>
            <w:tcW w:w="1803" w:type="dxa"/>
          </w:tcPr>
          <w:p w14:paraId="77D94FF4" w14:textId="5D4F4A43" w:rsidR="00FA0CF9" w:rsidRPr="003D6011" w:rsidRDefault="003D6011" w:rsidP="003F1889">
            <w:pPr>
              <w:spacing w:line="240" w:lineRule="auto"/>
              <w:jc w:val="center"/>
              <w:rPr>
                <w:rFonts w:cs="Arial"/>
              </w:rPr>
            </w:pPr>
            <w:r w:rsidRPr="003D6011">
              <w:rPr>
                <w:rFonts w:asciiTheme="minorHAnsi" w:hAnsiTheme="minorHAnsi"/>
                <w:szCs w:val="22"/>
              </w:rPr>
              <w:t>SZOOP RPO  WD 2014-2020</w:t>
            </w:r>
          </w:p>
        </w:tc>
      </w:tr>
      <w:tr w:rsidR="00FA0CF9" w:rsidRPr="003D6011" w14:paraId="2C7A518F" w14:textId="77777777" w:rsidTr="007B5608">
        <w:trPr>
          <w:trHeight w:val="20"/>
          <w:jc w:val="center"/>
        </w:trPr>
        <w:tc>
          <w:tcPr>
            <w:tcW w:w="0" w:type="auto"/>
            <w:shd w:val="clear" w:color="auto" w:fill="auto"/>
          </w:tcPr>
          <w:p w14:paraId="01E618E2" w14:textId="6EB7D555" w:rsidR="00FA0CF9" w:rsidRPr="003D6011" w:rsidRDefault="007B5608" w:rsidP="00766AC5">
            <w:pPr>
              <w:pStyle w:val="Default"/>
              <w:rPr>
                <w:rFonts w:asciiTheme="minorHAnsi" w:hAnsiTheme="minorHAnsi"/>
                <w:sz w:val="22"/>
                <w:szCs w:val="22"/>
              </w:rPr>
            </w:pPr>
            <w:r w:rsidRPr="003D6011">
              <w:rPr>
                <w:rFonts w:asciiTheme="minorHAnsi" w:hAnsiTheme="minorHAnsi"/>
                <w:sz w:val="22"/>
                <w:szCs w:val="22"/>
              </w:rPr>
              <w:t>Ilość zaoszczędzonej energii elektrycznej</w:t>
            </w:r>
          </w:p>
        </w:tc>
        <w:tc>
          <w:tcPr>
            <w:tcW w:w="1611" w:type="dxa"/>
          </w:tcPr>
          <w:p w14:paraId="735548C0" w14:textId="45C26711" w:rsidR="00FA0CF9" w:rsidRPr="003D6011" w:rsidRDefault="007B5608" w:rsidP="003F1889">
            <w:pPr>
              <w:spacing w:before="0" w:line="240" w:lineRule="auto"/>
              <w:jc w:val="center"/>
            </w:pPr>
            <w:r w:rsidRPr="003D6011">
              <w:t>MWh/rok</w:t>
            </w:r>
          </w:p>
        </w:tc>
        <w:tc>
          <w:tcPr>
            <w:tcW w:w="3921" w:type="dxa"/>
            <w:shd w:val="clear" w:color="auto" w:fill="auto"/>
          </w:tcPr>
          <w:p w14:paraId="29D4E5DD" w14:textId="74E36847" w:rsidR="00FA0CF9" w:rsidRPr="003D6011" w:rsidRDefault="007B5608" w:rsidP="007B5608">
            <w:pPr>
              <w:autoSpaceDE w:val="0"/>
              <w:autoSpaceDN w:val="0"/>
              <w:adjustRightInd w:val="0"/>
              <w:spacing w:line="240" w:lineRule="auto"/>
              <w:jc w:val="both"/>
              <w:rPr>
                <w:rFonts w:asciiTheme="minorHAnsi" w:hAnsiTheme="minorHAnsi"/>
                <w:szCs w:val="22"/>
              </w:rPr>
            </w:pPr>
            <w:r w:rsidRPr="003D6011">
              <w:rPr>
                <w:rFonts w:asciiTheme="minorHAnsi" w:hAnsiTheme="minorHAnsi"/>
                <w:szCs w:val="22"/>
              </w:rPr>
              <w:t xml:space="preserve">Ilość zaoszczędzonej w wyniku realizacji projektu energii elektrycznej w </w:t>
            </w:r>
            <w:r w:rsidRPr="003D6011">
              <w:rPr>
                <w:rFonts w:asciiTheme="minorHAnsi" w:hAnsiTheme="minorHAnsi"/>
                <w:szCs w:val="22"/>
              </w:rPr>
              <w:lastRenderedPageBreak/>
              <w:t>dystrybucji w ciągu pełnego roku po zakończeniu projektu w stosunku do roku bazowego. W przypadku przedsiębiorstw produkcyjnych: różnica między rocznym zużyciem energii elektrycznej w roku bazowym w stosunku do rocznego zużycia energii elektrycznej po zakończeniu projektu, skorygowana w przypadku zmiany wielkości produkcji. W przypadku modernizacji energetycznej budynków: różnica między rocznym zużyciem energii elektrycznej w roku bazowym w stosunku do rocznego zużycia energii elektrycznej po zakończeniu projektu.</w:t>
            </w:r>
          </w:p>
        </w:tc>
        <w:tc>
          <w:tcPr>
            <w:tcW w:w="1803" w:type="dxa"/>
          </w:tcPr>
          <w:p w14:paraId="67832048" w14:textId="08E13D95" w:rsidR="00FA0CF9" w:rsidRPr="003D6011" w:rsidRDefault="003D6011" w:rsidP="003F1889">
            <w:pPr>
              <w:spacing w:line="240" w:lineRule="auto"/>
              <w:jc w:val="center"/>
              <w:rPr>
                <w:rFonts w:cs="Arial"/>
              </w:rPr>
            </w:pPr>
            <w:r w:rsidRPr="003D6011">
              <w:rPr>
                <w:rFonts w:asciiTheme="minorHAnsi" w:hAnsiTheme="minorHAnsi"/>
                <w:szCs w:val="22"/>
              </w:rPr>
              <w:lastRenderedPageBreak/>
              <w:t>SZOOP RPO  WD 2014-2020</w:t>
            </w:r>
          </w:p>
        </w:tc>
      </w:tr>
      <w:tr w:rsidR="00FB5F16" w:rsidRPr="003D6011" w14:paraId="33C5CF96" w14:textId="77777777" w:rsidTr="007B5608">
        <w:trPr>
          <w:trHeight w:val="20"/>
          <w:jc w:val="center"/>
        </w:trPr>
        <w:tc>
          <w:tcPr>
            <w:tcW w:w="0" w:type="auto"/>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14:paraId="70383102" w14:textId="25CD2865" w:rsidR="00FB5F16" w:rsidRPr="003D6011" w:rsidRDefault="007B5608" w:rsidP="00FB5F16">
            <w:pPr>
              <w:pStyle w:val="Default"/>
              <w:rPr>
                <w:rFonts w:asciiTheme="minorHAnsi" w:hAnsiTheme="minorHAnsi"/>
                <w:sz w:val="22"/>
                <w:szCs w:val="22"/>
              </w:rPr>
            </w:pPr>
            <w:r w:rsidRPr="003D6011">
              <w:rPr>
                <w:rFonts w:asciiTheme="minorHAnsi" w:hAnsiTheme="minorHAnsi"/>
                <w:sz w:val="22"/>
                <w:szCs w:val="22"/>
              </w:rPr>
              <w:t>Wzrost zatrudnienia we wspieranych podmiotach (innych niż przedsiębiorstwa) O/K/M</w:t>
            </w:r>
          </w:p>
        </w:tc>
        <w:tc>
          <w:tcPr>
            <w:tcW w:w="16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BD0ADF" w14:textId="429D204A" w:rsidR="00FB5F16" w:rsidRPr="003D6011" w:rsidRDefault="00FB5F16" w:rsidP="00FB5F16">
            <w:pPr>
              <w:spacing w:before="0" w:line="240" w:lineRule="auto"/>
              <w:jc w:val="center"/>
              <w:rPr>
                <w:rFonts w:asciiTheme="minorHAnsi" w:hAnsiTheme="minorHAnsi"/>
                <w:szCs w:val="22"/>
              </w:rPr>
            </w:pPr>
            <w:r w:rsidRPr="003D6011">
              <w:rPr>
                <w:rFonts w:asciiTheme="minorHAnsi" w:hAnsiTheme="minorHAnsi" w:cs="ArialNarrow"/>
                <w:szCs w:val="22"/>
              </w:rPr>
              <w:t>EPC</w:t>
            </w:r>
            <w:r w:rsidR="007B5608" w:rsidRPr="003D6011">
              <w:rPr>
                <w:rFonts w:asciiTheme="minorHAnsi" w:hAnsiTheme="minorHAnsi" w:cs="ArialNarrow"/>
                <w:szCs w:val="22"/>
              </w:rPr>
              <w:t xml:space="preserve"> (ekwiwalent pełnego czasu pracy)</w:t>
            </w:r>
          </w:p>
        </w:tc>
        <w:tc>
          <w:tcPr>
            <w:tcW w:w="3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D56CB48" w14:textId="77777777" w:rsidR="00323264" w:rsidRPr="003D6011" w:rsidRDefault="00FB5F16" w:rsidP="007B5608">
            <w:pPr>
              <w:pStyle w:val="Default"/>
              <w:jc w:val="both"/>
              <w:rPr>
                <w:rFonts w:asciiTheme="minorHAnsi" w:eastAsiaTheme="minorHAnsi" w:hAnsiTheme="minorHAnsi" w:cs="Verdana"/>
                <w:sz w:val="22"/>
                <w:szCs w:val="22"/>
                <w:lang w:val="en-US" w:eastAsia="en-US"/>
              </w:rPr>
            </w:pPr>
            <w:r w:rsidRPr="003D6011">
              <w:rPr>
                <w:rFonts w:asciiTheme="minorHAnsi" w:eastAsiaTheme="minorHAnsi" w:hAnsiTheme="minorHAnsi" w:cs="Verdana"/>
                <w:sz w:val="22"/>
                <w:szCs w:val="22"/>
                <w:lang w:val="en-US" w:eastAsia="en-US"/>
              </w:rPr>
              <w:t xml:space="preserve">Gross new working positions in supported enterprises in full time equivalents (FTE). 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 Gross: Not counting the origin of the jobholder as long as it directly contributes to the increase of total jobs in the </w:t>
            </w:r>
            <w:proofErr w:type="spellStart"/>
            <w:r w:rsidRPr="003D6011">
              <w:rPr>
                <w:rFonts w:asciiTheme="minorHAnsi" w:eastAsiaTheme="minorHAnsi" w:hAnsiTheme="minorHAnsi" w:cs="Verdana"/>
                <w:sz w:val="22"/>
                <w:szCs w:val="22"/>
                <w:lang w:val="en-US" w:eastAsia="en-US"/>
              </w:rPr>
              <w:t>organisation</w:t>
            </w:r>
            <w:proofErr w:type="spellEnd"/>
            <w:r w:rsidRPr="003D6011">
              <w:rPr>
                <w:rFonts w:asciiTheme="minorHAnsi" w:eastAsiaTheme="minorHAnsi" w:hAnsiTheme="minorHAnsi" w:cs="Verdana"/>
                <w:sz w:val="22"/>
                <w:szCs w:val="22"/>
                <w:lang w:val="en-US" w:eastAsia="en-US"/>
              </w:rPr>
              <w:t xml:space="preserve">. The indicator should be used if the employment increase can plausibly be attributed to the support. Full-time equivalent: Jobs can be full time, </w:t>
            </w:r>
            <w:proofErr w:type="spellStart"/>
            <w:r w:rsidRPr="003D6011">
              <w:rPr>
                <w:rFonts w:asciiTheme="minorHAnsi" w:eastAsiaTheme="minorHAnsi" w:hAnsiTheme="minorHAnsi" w:cs="Verdana"/>
                <w:sz w:val="22"/>
                <w:szCs w:val="22"/>
                <w:lang w:val="en-US" w:eastAsia="en-US"/>
              </w:rPr>
              <w:t>parttime</w:t>
            </w:r>
            <w:proofErr w:type="spellEnd"/>
            <w:r w:rsidRPr="003D6011">
              <w:rPr>
                <w:rFonts w:asciiTheme="minorHAnsi" w:eastAsiaTheme="minorHAnsi" w:hAnsiTheme="minorHAnsi" w:cs="Verdana"/>
                <w:sz w:val="22"/>
                <w:szCs w:val="22"/>
                <w:lang w:val="en-US" w:eastAsia="en-US"/>
              </w:rPr>
              <w:t xml:space="preserve"> or seasonal. Seasonal and part time jobs are to be converted to FTE using ILO/statistical/other standards. </w:t>
            </w:r>
          </w:p>
          <w:p w14:paraId="55C13A75" w14:textId="77777777" w:rsidR="00323264" w:rsidRPr="003D6011" w:rsidRDefault="00323264" w:rsidP="007B5608">
            <w:pPr>
              <w:pStyle w:val="Default"/>
              <w:jc w:val="both"/>
              <w:rPr>
                <w:rFonts w:asciiTheme="minorHAnsi" w:eastAsiaTheme="minorHAnsi" w:hAnsiTheme="minorHAnsi" w:cs="Verdana"/>
                <w:sz w:val="22"/>
                <w:szCs w:val="22"/>
                <w:lang w:val="en-US" w:eastAsia="en-US"/>
              </w:rPr>
            </w:pPr>
          </w:p>
          <w:p w14:paraId="70EC8845" w14:textId="77777777" w:rsidR="00FB5F16" w:rsidRPr="003D6011" w:rsidRDefault="00FB5F16" w:rsidP="007B5608">
            <w:pPr>
              <w:pStyle w:val="Default"/>
              <w:jc w:val="both"/>
              <w:rPr>
                <w:rFonts w:asciiTheme="minorHAnsi" w:hAnsiTheme="minorHAnsi"/>
                <w:b/>
                <w:iCs/>
                <w:sz w:val="22"/>
                <w:szCs w:val="22"/>
              </w:rPr>
            </w:pPr>
            <w:r w:rsidRPr="003D6011">
              <w:rPr>
                <w:rFonts w:asciiTheme="minorHAnsi" w:hAnsiTheme="minorHAnsi"/>
                <w:b/>
                <w:iCs/>
                <w:sz w:val="22"/>
                <w:szCs w:val="22"/>
              </w:rPr>
              <w:t>Wersja robocza:</w:t>
            </w:r>
          </w:p>
          <w:p w14:paraId="3D34C33E" w14:textId="77777777" w:rsidR="00FB5F16" w:rsidRPr="003D6011" w:rsidRDefault="00FB5F16" w:rsidP="007B5608">
            <w:pPr>
              <w:autoSpaceDE w:val="0"/>
              <w:autoSpaceDN w:val="0"/>
              <w:adjustRightInd w:val="0"/>
              <w:spacing w:before="0" w:line="240" w:lineRule="auto"/>
              <w:jc w:val="both"/>
              <w:rPr>
                <w:rFonts w:asciiTheme="minorHAnsi" w:eastAsiaTheme="minorHAnsi" w:hAnsiTheme="minorHAnsi" w:cs="Verdana"/>
                <w:szCs w:val="22"/>
                <w:lang w:eastAsia="en-US"/>
              </w:rPr>
            </w:pPr>
            <w:r w:rsidRPr="003D6011">
              <w:rPr>
                <w:rFonts w:asciiTheme="minorHAnsi" w:eastAsiaTheme="minorHAnsi" w:hAnsiTheme="minorHAnsi" w:cs="Verdana"/>
                <w:szCs w:val="22"/>
                <w:lang w:eastAsia="en-US"/>
              </w:rPr>
              <w:t xml:space="preserve">Nowe miejsca pracy brutto we wspartych  przedsiębiorstwach wyrażone w ekwiwalencie pełnego czasu pracy (EPC). Wskaźnik ukazuje zmianę "przed-po" i obejmuje część wzrostu zatrudnienia w przedsiębiorstwie będącego bezpośrednim skutkiem zakończenia realizacji projektu (nie są wliczani pracownicy zatrudnieni do realizacji </w:t>
            </w:r>
            <w:r w:rsidRPr="003D6011">
              <w:rPr>
                <w:rFonts w:asciiTheme="minorHAnsi" w:eastAsiaTheme="minorHAnsi" w:hAnsiTheme="minorHAnsi" w:cs="Verdana"/>
                <w:szCs w:val="22"/>
                <w:lang w:eastAsia="en-US"/>
              </w:rPr>
              <w:lastRenderedPageBreak/>
              <w:t>projektu). 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 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 ramach projektu. Ekwiwalent pełnego czasu pracy: miejsca pracy mogą być pełnoetatowe, na część etatu lub sezonowe, przy czym etaty częściowe podlegają sumowaniu lecz nie są zaokrąglane do pełnych jednostek. Zatrudnienie sezonowe i na część etatu przelicza się na EPC</w:t>
            </w:r>
            <w:r w:rsidR="00902C07" w:rsidRPr="003D6011">
              <w:rPr>
                <w:rFonts w:asciiTheme="minorHAnsi" w:eastAsiaTheme="minorHAnsi" w:hAnsiTheme="minorHAnsi" w:cs="Verdana"/>
                <w:szCs w:val="22"/>
                <w:lang w:eastAsia="en-US"/>
              </w:rPr>
              <w:t xml:space="preserve"> </w:t>
            </w:r>
            <w:r w:rsidRPr="003D6011">
              <w:rPr>
                <w:rFonts w:asciiTheme="minorHAnsi" w:eastAsiaTheme="minorHAnsi" w:hAnsiTheme="minorHAnsi" w:cs="Verdana"/>
                <w:szCs w:val="22"/>
                <w:lang w:eastAsia="en-US"/>
              </w:rPr>
              <w:t>z wykorzystaniem standardów ILO (Międzynarodowa Organizacja Pracy)/ statystycznych/innych.</w:t>
            </w:r>
          </w:p>
          <w:p w14:paraId="2C32E4E3" w14:textId="77777777" w:rsidR="00902C07" w:rsidRPr="003D6011" w:rsidRDefault="00902C07" w:rsidP="007B5608">
            <w:pPr>
              <w:autoSpaceDE w:val="0"/>
              <w:autoSpaceDN w:val="0"/>
              <w:adjustRightInd w:val="0"/>
              <w:spacing w:before="0" w:line="240" w:lineRule="auto"/>
              <w:jc w:val="both"/>
              <w:rPr>
                <w:rFonts w:asciiTheme="minorHAnsi" w:eastAsiaTheme="minorHAnsi" w:hAnsiTheme="minorHAnsi" w:cs="Verdana"/>
                <w:szCs w:val="22"/>
                <w:lang w:eastAsia="en-US"/>
              </w:rPr>
            </w:pPr>
          </w:p>
          <w:p w14:paraId="37839741" w14:textId="77777777" w:rsidR="00902C07" w:rsidRPr="003D6011" w:rsidRDefault="00902C07" w:rsidP="007B5608">
            <w:pPr>
              <w:autoSpaceDE w:val="0"/>
              <w:autoSpaceDN w:val="0"/>
              <w:adjustRightInd w:val="0"/>
              <w:spacing w:before="0" w:line="240" w:lineRule="auto"/>
              <w:jc w:val="both"/>
              <w:rPr>
                <w:rFonts w:asciiTheme="minorHAnsi" w:eastAsiaTheme="minorHAnsi" w:hAnsiTheme="minorHAnsi" w:cs="Verdana"/>
                <w:i/>
                <w:szCs w:val="22"/>
                <w:lang w:eastAsia="en-US"/>
              </w:rPr>
            </w:pPr>
            <w:r w:rsidRPr="003D6011">
              <w:rPr>
                <w:rFonts w:asciiTheme="minorHAnsi" w:eastAsiaTheme="minorHAnsi" w:hAnsiTheme="minorHAnsi" w:cs="Verdana"/>
                <w:i/>
                <w:szCs w:val="22"/>
                <w:lang w:eastAsia="en-US"/>
              </w:rPr>
              <w:t>Wskaźnik liczy etaty utworzone w przedsiębiorstwach w wyniku realizacji projektu; dotyczy zatrudnionych na podstawie umowy o pracę (nie dotyczy umów cywilnoprawnych).</w:t>
            </w:r>
          </w:p>
        </w:tc>
        <w:tc>
          <w:tcPr>
            <w:tcW w:w="1803"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4E4E7AB2" w14:textId="75BCD25D" w:rsidR="00FB5F16" w:rsidRPr="003D6011" w:rsidRDefault="007B5608" w:rsidP="00FB5F16">
            <w:pPr>
              <w:spacing w:line="240" w:lineRule="auto"/>
              <w:jc w:val="center"/>
              <w:rPr>
                <w:rFonts w:asciiTheme="minorHAnsi" w:hAnsiTheme="minorHAnsi"/>
                <w:szCs w:val="22"/>
              </w:rPr>
            </w:pPr>
            <w:r w:rsidRPr="003D6011">
              <w:rPr>
                <w:rFonts w:cs="Arial"/>
              </w:rPr>
              <w:lastRenderedPageBreak/>
              <w:t>horyzontalny</w:t>
            </w:r>
          </w:p>
        </w:tc>
      </w:tr>
      <w:tr w:rsidR="00FB5F16" w:rsidRPr="003D6011" w14:paraId="70052B17" w14:textId="77777777" w:rsidTr="007B5608">
        <w:trPr>
          <w:cantSplit/>
          <w:trHeight w:val="20"/>
          <w:jc w:val="center"/>
        </w:trPr>
        <w:tc>
          <w:tcPr>
            <w:tcW w:w="0" w:type="auto"/>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14:paraId="0A6DAA77" w14:textId="77777777" w:rsidR="00FB5F16" w:rsidRPr="003D6011" w:rsidRDefault="00FB5F16" w:rsidP="00FB5F16">
            <w:pPr>
              <w:pStyle w:val="Default"/>
              <w:rPr>
                <w:rFonts w:asciiTheme="minorHAnsi" w:hAnsiTheme="minorHAnsi"/>
                <w:sz w:val="22"/>
                <w:szCs w:val="22"/>
              </w:rPr>
            </w:pPr>
            <w:r w:rsidRPr="003D6011">
              <w:rPr>
                <w:rFonts w:asciiTheme="minorHAnsi" w:hAnsiTheme="minorHAnsi"/>
                <w:sz w:val="22"/>
                <w:szCs w:val="22"/>
              </w:rPr>
              <w:t>Liczb utrzymanych miejsc pracy</w:t>
            </w:r>
          </w:p>
        </w:tc>
        <w:tc>
          <w:tcPr>
            <w:tcW w:w="16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E08BE2" w14:textId="77777777" w:rsidR="00FB5F16" w:rsidRPr="003D6011" w:rsidRDefault="00FB5F16" w:rsidP="00FB5F16">
            <w:pPr>
              <w:spacing w:before="0" w:line="240" w:lineRule="auto"/>
              <w:jc w:val="center"/>
              <w:rPr>
                <w:rFonts w:asciiTheme="minorHAnsi" w:hAnsiTheme="minorHAnsi" w:cs="ArialNarrow"/>
                <w:szCs w:val="22"/>
              </w:rPr>
            </w:pPr>
            <w:r w:rsidRPr="003D6011">
              <w:rPr>
                <w:rFonts w:asciiTheme="minorHAnsi" w:hAnsiTheme="minorHAnsi" w:cs="ArialNarrow"/>
                <w:szCs w:val="22"/>
              </w:rPr>
              <w:t>EPC</w:t>
            </w:r>
          </w:p>
          <w:p w14:paraId="2C315D24" w14:textId="1E6302CB" w:rsidR="007B5608" w:rsidRPr="003D6011" w:rsidRDefault="007B5608" w:rsidP="00FB5F16">
            <w:pPr>
              <w:spacing w:before="0" w:line="240" w:lineRule="auto"/>
              <w:jc w:val="center"/>
              <w:rPr>
                <w:rFonts w:asciiTheme="minorHAnsi" w:hAnsiTheme="minorHAnsi"/>
                <w:szCs w:val="22"/>
              </w:rPr>
            </w:pPr>
            <w:r w:rsidRPr="003D6011">
              <w:rPr>
                <w:rFonts w:asciiTheme="minorHAnsi" w:hAnsiTheme="minorHAnsi" w:cs="ArialNarrow"/>
                <w:szCs w:val="22"/>
              </w:rPr>
              <w:t>(ekwiwalent pełnego czasu pracy)</w:t>
            </w:r>
          </w:p>
        </w:tc>
        <w:tc>
          <w:tcPr>
            <w:tcW w:w="39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CCEF39C" w14:textId="42C895CC" w:rsidR="00FB5F16" w:rsidRPr="003D6011" w:rsidRDefault="00FB5F16" w:rsidP="00FB5F16">
            <w:pPr>
              <w:autoSpaceDE w:val="0"/>
              <w:autoSpaceDN w:val="0"/>
              <w:adjustRightInd w:val="0"/>
              <w:spacing w:before="0" w:line="240" w:lineRule="auto"/>
              <w:rPr>
                <w:rFonts w:asciiTheme="minorHAnsi" w:eastAsiaTheme="minorHAnsi" w:hAnsiTheme="minorHAnsi" w:cs="Verdana"/>
                <w:szCs w:val="22"/>
                <w:lang w:eastAsia="en-US"/>
              </w:rPr>
            </w:pPr>
            <w:r w:rsidRPr="003D6011">
              <w:rPr>
                <w:rFonts w:asciiTheme="minorHAnsi" w:eastAsiaTheme="minorHAnsi" w:hAnsiTheme="minorHAnsi" w:cstheme="minorBidi"/>
                <w:szCs w:val="22"/>
                <w:lang w:eastAsia="en-US"/>
              </w:rPr>
              <w:t>Miejsca pracy utworzone w wyniku realizacji projektu, lecz nie powodują wzrostu zatrudnienia w organizacji</w:t>
            </w:r>
            <w:r w:rsidR="00C746A8" w:rsidRPr="003D6011">
              <w:rPr>
                <w:rFonts w:asciiTheme="minorHAnsi" w:eastAsiaTheme="minorHAnsi" w:hAnsiTheme="minorHAnsi" w:cstheme="minorBidi"/>
                <w:szCs w:val="22"/>
                <w:lang w:eastAsia="en-US"/>
              </w:rPr>
              <w:t xml:space="preserve">. </w:t>
            </w:r>
            <w:r w:rsidR="00C746A8" w:rsidRPr="003D6011">
              <w:rPr>
                <w:rFonts w:asciiTheme="minorHAnsi" w:eastAsiaTheme="minorHAnsi" w:hAnsiTheme="minorHAnsi" w:cs="Verdana"/>
                <w:szCs w:val="22"/>
                <w:lang w:eastAsia="en-US"/>
              </w:rPr>
              <w:t>Brak podziału na O/K/M.</w:t>
            </w:r>
          </w:p>
        </w:tc>
        <w:tc>
          <w:tcPr>
            <w:tcW w:w="1803" w:type="dxa"/>
            <w:tcBorders>
              <w:top w:val="single" w:sz="6" w:space="0" w:color="000000" w:themeColor="text1"/>
              <w:left w:val="single" w:sz="6" w:space="0" w:color="000000" w:themeColor="text1"/>
              <w:bottom w:val="single" w:sz="6" w:space="0" w:color="000000" w:themeColor="text1"/>
              <w:right w:val="single" w:sz="8" w:space="0" w:color="000000" w:themeColor="text1"/>
            </w:tcBorders>
          </w:tcPr>
          <w:p w14:paraId="2A649718" w14:textId="77777777" w:rsidR="00FB5F16" w:rsidRPr="003D6011" w:rsidRDefault="00FB5F16" w:rsidP="00FB5F16">
            <w:pPr>
              <w:spacing w:line="240" w:lineRule="auto"/>
              <w:jc w:val="center"/>
              <w:rPr>
                <w:rFonts w:asciiTheme="minorHAnsi" w:hAnsiTheme="minorHAnsi"/>
                <w:szCs w:val="22"/>
              </w:rPr>
            </w:pPr>
            <w:r w:rsidRPr="003D6011">
              <w:rPr>
                <w:rFonts w:asciiTheme="minorHAnsi" w:hAnsiTheme="minorHAnsi"/>
                <w:szCs w:val="22"/>
              </w:rPr>
              <w:t>Horyzontalny</w:t>
            </w:r>
          </w:p>
        </w:tc>
      </w:tr>
      <w:tr w:rsidR="00FB5F16" w:rsidRPr="00D52C48" w14:paraId="6C442DD5" w14:textId="77777777" w:rsidTr="007B5608">
        <w:trPr>
          <w:cantSplit/>
          <w:trHeight w:val="20"/>
          <w:jc w:val="center"/>
        </w:trPr>
        <w:tc>
          <w:tcPr>
            <w:tcW w:w="0" w:type="auto"/>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14:paraId="1152F41D" w14:textId="77777777" w:rsidR="00FB5F16" w:rsidRPr="003D6011" w:rsidRDefault="00FB5F16" w:rsidP="00FB5F16">
            <w:pPr>
              <w:pStyle w:val="Default"/>
              <w:rPr>
                <w:rFonts w:asciiTheme="minorHAnsi" w:hAnsiTheme="minorHAnsi"/>
                <w:sz w:val="22"/>
                <w:szCs w:val="22"/>
              </w:rPr>
            </w:pPr>
            <w:r w:rsidRPr="003D6011">
              <w:rPr>
                <w:rFonts w:asciiTheme="minorHAnsi" w:hAnsiTheme="minorHAnsi"/>
                <w:sz w:val="22"/>
                <w:szCs w:val="22"/>
              </w:rPr>
              <w:t>Liczba nowo utworzonych miejsc pracy – pozostałe formy</w:t>
            </w:r>
          </w:p>
        </w:tc>
        <w:tc>
          <w:tcPr>
            <w:tcW w:w="1611" w:type="dxa"/>
            <w:tcBorders>
              <w:top w:val="single" w:sz="6" w:space="0" w:color="000000" w:themeColor="text1"/>
              <w:left w:val="single" w:sz="6" w:space="0" w:color="000000" w:themeColor="text1"/>
              <w:bottom w:val="single" w:sz="8" w:space="0" w:color="000000" w:themeColor="text1"/>
              <w:right w:val="single" w:sz="6" w:space="0" w:color="000000" w:themeColor="text1"/>
            </w:tcBorders>
          </w:tcPr>
          <w:p w14:paraId="576EE73C" w14:textId="77777777" w:rsidR="00FB5F16" w:rsidRPr="003D6011" w:rsidRDefault="00FB5F16" w:rsidP="00FB5F16">
            <w:pPr>
              <w:spacing w:before="0" w:line="240" w:lineRule="auto"/>
              <w:jc w:val="center"/>
              <w:rPr>
                <w:rFonts w:asciiTheme="minorHAnsi" w:hAnsiTheme="minorHAnsi" w:cs="ArialNarrow"/>
                <w:szCs w:val="22"/>
              </w:rPr>
            </w:pPr>
            <w:r w:rsidRPr="003D6011">
              <w:rPr>
                <w:rFonts w:asciiTheme="minorHAnsi" w:hAnsiTheme="minorHAnsi" w:cs="ArialNarrow"/>
                <w:szCs w:val="22"/>
              </w:rPr>
              <w:t>EPC</w:t>
            </w:r>
          </w:p>
          <w:p w14:paraId="366BBF99" w14:textId="54A9D032" w:rsidR="007B5608" w:rsidRPr="003D6011" w:rsidRDefault="007B5608" w:rsidP="00FB5F16">
            <w:pPr>
              <w:spacing w:before="0" w:line="240" w:lineRule="auto"/>
              <w:jc w:val="center"/>
              <w:rPr>
                <w:rFonts w:asciiTheme="minorHAnsi" w:hAnsiTheme="minorHAnsi"/>
                <w:szCs w:val="22"/>
              </w:rPr>
            </w:pPr>
            <w:r w:rsidRPr="003D6011">
              <w:rPr>
                <w:rFonts w:asciiTheme="minorHAnsi" w:hAnsiTheme="minorHAnsi" w:cs="ArialNarrow"/>
                <w:szCs w:val="22"/>
              </w:rPr>
              <w:t>(ekwiwalent pełnego czasu pracy)</w:t>
            </w:r>
          </w:p>
        </w:tc>
        <w:tc>
          <w:tcPr>
            <w:tcW w:w="3921"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vAlign w:val="center"/>
          </w:tcPr>
          <w:p w14:paraId="5EA219DC" w14:textId="0BDE6FC2" w:rsidR="00FB5F16" w:rsidRPr="003D6011" w:rsidRDefault="00FB5F16" w:rsidP="00FB5F16">
            <w:pPr>
              <w:autoSpaceDE w:val="0"/>
              <w:autoSpaceDN w:val="0"/>
              <w:adjustRightInd w:val="0"/>
              <w:spacing w:before="0" w:line="240" w:lineRule="auto"/>
              <w:rPr>
                <w:rFonts w:asciiTheme="minorHAnsi" w:eastAsiaTheme="minorHAnsi" w:hAnsiTheme="minorHAnsi" w:cs="Verdana"/>
                <w:szCs w:val="22"/>
                <w:lang w:eastAsia="en-US"/>
              </w:rPr>
            </w:pPr>
            <w:r w:rsidRPr="003D6011">
              <w:rPr>
                <w:rFonts w:asciiTheme="minorHAnsi" w:eastAsiaTheme="minorHAnsi" w:hAnsiTheme="minorHAnsi" w:cstheme="minorBidi"/>
                <w:iCs/>
                <w:szCs w:val="22"/>
                <w:lang w:eastAsia="en-US"/>
              </w:rPr>
              <w:t>Pozostałe formy</w:t>
            </w:r>
            <w:r w:rsidRPr="003D6011">
              <w:rPr>
                <w:rFonts w:asciiTheme="minorHAnsi" w:eastAsiaTheme="minorHAnsi" w:hAnsiTheme="minorHAnsi" w:cs="Verdana"/>
                <w:szCs w:val="22"/>
                <w:lang w:eastAsia="en-US"/>
              </w:rPr>
              <w:t>, np. umowy cywilnoprawne, miejsca pracy do obsługi projektu, nietrwałe miejsca pracy</w:t>
            </w:r>
            <w:r w:rsidR="00C746A8" w:rsidRPr="003D6011">
              <w:rPr>
                <w:rFonts w:asciiTheme="minorHAnsi" w:eastAsiaTheme="minorHAnsi" w:hAnsiTheme="minorHAnsi" w:cs="Verdana"/>
                <w:szCs w:val="22"/>
                <w:lang w:eastAsia="en-US"/>
              </w:rPr>
              <w:t>. Brak podziału na O/K/M.</w:t>
            </w:r>
          </w:p>
        </w:tc>
        <w:tc>
          <w:tcPr>
            <w:tcW w:w="1803" w:type="dxa"/>
            <w:tcBorders>
              <w:top w:val="single" w:sz="6" w:space="0" w:color="000000" w:themeColor="text1"/>
              <w:left w:val="single" w:sz="6" w:space="0" w:color="000000" w:themeColor="text1"/>
              <w:bottom w:val="single" w:sz="8" w:space="0" w:color="000000" w:themeColor="text1"/>
              <w:right w:val="single" w:sz="8" w:space="0" w:color="000000" w:themeColor="text1"/>
            </w:tcBorders>
          </w:tcPr>
          <w:p w14:paraId="0BC6FF7E" w14:textId="77777777" w:rsidR="00FB5F16" w:rsidRPr="00D52C48" w:rsidRDefault="00FB5F16" w:rsidP="00FB5F16">
            <w:pPr>
              <w:spacing w:line="240" w:lineRule="auto"/>
              <w:jc w:val="center"/>
              <w:rPr>
                <w:rFonts w:asciiTheme="minorHAnsi" w:hAnsiTheme="minorHAnsi"/>
                <w:szCs w:val="22"/>
              </w:rPr>
            </w:pPr>
            <w:r w:rsidRPr="003D6011">
              <w:rPr>
                <w:rFonts w:asciiTheme="minorHAnsi" w:hAnsiTheme="minorHAnsi"/>
                <w:szCs w:val="22"/>
              </w:rPr>
              <w:t>Horyzontalny</w:t>
            </w:r>
          </w:p>
        </w:tc>
      </w:tr>
    </w:tbl>
    <w:p w14:paraId="0E9F32E7" w14:textId="77777777" w:rsidR="00B87C4A" w:rsidRPr="00D52C48" w:rsidRDefault="00B87C4A" w:rsidP="00DF6D97">
      <w:pPr>
        <w:autoSpaceDE w:val="0"/>
        <w:autoSpaceDN w:val="0"/>
        <w:adjustRightInd w:val="0"/>
        <w:spacing w:before="120" w:after="120" w:line="240" w:lineRule="auto"/>
        <w:jc w:val="both"/>
        <w:rPr>
          <w:rFonts w:asciiTheme="minorHAnsi" w:eastAsiaTheme="minorHAnsi" w:hAnsiTheme="minorHAnsi" w:cs="Arial"/>
          <w:szCs w:val="22"/>
          <w:lang w:eastAsia="en-US"/>
        </w:rPr>
      </w:pPr>
    </w:p>
    <w:p w14:paraId="0C707866" w14:textId="77777777" w:rsidR="00DF6D97" w:rsidRPr="00D52C48" w:rsidRDefault="00DF6D97" w:rsidP="00DF6D97">
      <w:pPr>
        <w:autoSpaceDE w:val="0"/>
        <w:autoSpaceDN w:val="0"/>
        <w:adjustRightInd w:val="0"/>
        <w:spacing w:before="120" w:after="120" w:line="240" w:lineRule="auto"/>
        <w:jc w:val="both"/>
        <w:rPr>
          <w:rFonts w:asciiTheme="minorHAnsi" w:eastAsiaTheme="minorHAnsi" w:hAnsiTheme="minorHAnsi" w:cs="Arial"/>
          <w:szCs w:val="22"/>
          <w:lang w:eastAsia="en-US"/>
        </w:rPr>
      </w:pPr>
      <w:r w:rsidRPr="00D52C48">
        <w:rPr>
          <w:rFonts w:asciiTheme="minorHAnsi" w:eastAsiaTheme="minorHAnsi" w:hAnsiTheme="minorHAnsi" w:cs="Arial"/>
          <w:szCs w:val="22"/>
          <w:lang w:eastAsia="en-US"/>
        </w:rPr>
        <w:t xml:space="preserve">W ramach wniosku o dofinansowanie Wnioskodawca ma obowiązek uwzględnić </w:t>
      </w:r>
      <w:r w:rsidRPr="00D52C48">
        <w:rPr>
          <w:rFonts w:asciiTheme="minorHAnsi" w:eastAsiaTheme="minorHAnsi" w:hAnsiTheme="minorHAnsi" w:cs="Arial"/>
          <w:b/>
          <w:szCs w:val="22"/>
          <w:lang w:eastAsia="en-US"/>
        </w:rPr>
        <w:t>wszystkie adekwatne</w:t>
      </w:r>
      <w:r w:rsidRPr="00D52C48">
        <w:rPr>
          <w:rFonts w:asciiTheme="minorHAnsi" w:eastAsiaTheme="minorHAnsi" w:hAnsiTheme="minorHAnsi" w:cs="Arial"/>
          <w:szCs w:val="22"/>
          <w:lang w:eastAsia="en-US"/>
        </w:rPr>
        <w:t xml:space="preserve"> wskaźniki produktu oraz rezultatu bezpośredniego z listy przedstawionej  w powyższych tabelach, odpowiadające celowi projektu. </w:t>
      </w:r>
      <w:r w:rsidRPr="00D52C48">
        <w:rPr>
          <w:rFonts w:asciiTheme="minorHAnsi" w:hAnsiTheme="minorHAnsi"/>
          <w:szCs w:val="22"/>
        </w:rPr>
        <w:t>Dodatkowo w ramach wniosku o dofinansowanie Wnioskodawca może określić inne, dodatkowe wskaźniki specyficzne dla danego projektu, o ile będzie to niezbędne dla prawidłowej realizacji projektu (tzw. wskaźniki projektowe).</w:t>
      </w:r>
    </w:p>
    <w:p w14:paraId="51C7A889" w14:textId="77777777" w:rsidR="00DF6D97" w:rsidRPr="00D52C48" w:rsidRDefault="00DF6D97" w:rsidP="00DF6D97">
      <w:pPr>
        <w:pStyle w:val="Default"/>
        <w:jc w:val="both"/>
        <w:rPr>
          <w:rFonts w:asciiTheme="minorHAnsi" w:eastAsiaTheme="minorHAnsi" w:hAnsiTheme="minorHAnsi" w:cstheme="minorBidi"/>
          <w:sz w:val="22"/>
          <w:szCs w:val="22"/>
          <w:lang w:eastAsia="en-US"/>
        </w:rPr>
      </w:pPr>
      <w:r w:rsidRPr="00D52C48">
        <w:rPr>
          <w:rFonts w:asciiTheme="minorHAnsi" w:eastAsiaTheme="minorHAnsi" w:hAnsiTheme="minorHAnsi" w:cstheme="minorBidi"/>
          <w:sz w:val="22"/>
          <w:szCs w:val="22"/>
          <w:lang w:eastAsia="en-US"/>
        </w:rPr>
        <w:lastRenderedPageBreak/>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14:paraId="7399748C" w14:textId="77777777" w:rsidR="00DF6D97" w:rsidRPr="00D52C48" w:rsidRDefault="00DF6D97" w:rsidP="00DF6D97">
      <w:pPr>
        <w:spacing w:line="240" w:lineRule="auto"/>
        <w:jc w:val="both"/>
        <w:rPr>
          <w:rFonts w:asciiTheme="minorHAnsi" w:hAnsiTheme="minorHAnsi" w:cs="Arial"/>
          <w:b/>
          <w:szCs w:val="22"/>
          <w:u w:val="single"/>
        </w:rPr>
      </w:pPr>
      <w:r w:rsidRPr="00D52C48">
        <w:rPr>
          <w:rFonts w:asciiTheme="minorHAnsi" w:hAnsiTheme="minorHAnsi" w:cs="Arial"/>
          <w:b/>
          <w:szCs w:val="22"/>
          <w:u w:val="single"/>
        </w:rPr>
        <w:t>Wartość bazowa (tzn. wartość w momencie rozpoczęcia realizacji projektu) w przypadku każdego wskaźnika powinna być wykazana na poziomie „0”.</w:t>
      </w:r>
    </w:p>
    <w:p w14:paraId="61190476" w14:textId="77777777" w:rsidR="00DF6D97" w:rsidRPr="00D52C48" w:rsidRDefault="00DF6D97" w:rsidP="00DF6D97">
      <w:pPr>
        <w:spacing w:line="240" w:lineRule="auto"/>
        <w:jc w:val="both"/>
        <w:rPr>
          <w:rFonts w:asciiTheme="minorHAnsi" w:hAnsiTheme="minorHAnsi" w:cs="Arial"/>
          <w:b/>
          <w:szCs w:val="22"/>
          <w:u w:val="single"/>
        </w:rPr>
      </w:pPr>
      <w:r w:rsidRPr="00D52C48">
        <w:rPr>
          <w:rFonts w:asciiTheme="minorHAnsi" w:hAnsiTheme="minorHAnsi" w:cs="Arial"/>
          <w:b/>
          <w:szCs w:val="22"/>
          <w:u w:val="single"/>
        </w:rPr>
        <w:t xml:space="preserve">O ile w umowie o dofinansowanie projektu nie wskazano inaczej, efekt wsparcia na poziomie projektu występuje: </w:t>
      </w:r>
    </w:p>
    <w:p w14:paraId="17CD0866" w14:textId="77777777" w:rsidR="00DF6D97" w:rsidRPr="00D52C48" w:rsidRDefault="00DF6D97" w:rsidP="00DF6D97">
      <w:pPr>
        <w:spacing w:line="240" w:lineRule="auto"/>
        <w:jc w:val="both"/>
        <w:rPr>
          <w:rFonts w:asciiTheme="minorHAnsi" w:hAnsiTheme="minorHAnsi" w:cs="Arial"/>
          <w:b/>
          <w:szCs w:val="22"/>
          <w:u w:val="single"/>
        </w:rPr>
      </w:pPr>
      <w:r w:rsidRPr="00D52C48">
        <w:rPr>
          <w:rFonts w:asciiTheme="minorHAnsi" w:hAnsiTheme="minorHAnsi" w:cs="Arial"/>
          <w:b/>
          <w:szCs w:val="22"/>
          <w:u w:val="single"/>
        </w:rPr>
        <w:t xml:space="preserve">a) w przypadku wskaźników produktu – w okresie od podpisania umowy o dofinansowanie, przy czym osiągnięte wartości powinny zostać wykazane najpóźniej we wniosku o płatność końcową, </w:t>
      </w:r>
    </w:p>
    <w:p w14:paraId="2FC7E941" w14:textId="77777777" w:rsidR="00DF6D97" w:rsidRPr="00D52C48" w:rsidRDefault="00DF6D97" w:rsidP="00DF6D97">
      <w:pPr>
        <w:spacing w:line="240" w:lineRule="auto"/>
        <w:jc w:val="both"/>
        <w:rPr>
          <w:rFonts w:asciiTheme="minorHAnsi" w:hAnsiTheme="minorHAnsi" w:cs="Arial"/>
          <w:b/>
          <w:szCs w:val="22"/>
          <w:u w:val="single"/>
        </w:rPr>
      </w:pPr>
      <w:r w:rsidRPr="00D52C48">
        <w:rPr>
          <w:rFonts w:asciiTheme="minorHAnsi" w:hAnsiTheme="minorHAnsi" w:cs="Arial"/>
          <w:b/>
          <w:szCs w:val="22"/>
          <w:u w:val="single"/>
        </w:rPr>
        <w:t xml:space="preserve">b) w przypadku wskaźników rezultatu określonych na poziomie projektu: </w:t>
      </w:r>
    </w:p>
    <w:p w14:paraId="234C1EEF" w14:textId="77777777" w:rsidR="00DF6D97" w:rsidRPr="00D52C48" w:rsidRDefault="00DF6D97" w:rsidP="00DF6D97">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D52C48">
        <w:rPr>
          <w:rFonts w:asciiTheme="minorHAnsi" w:hAnsiTheme="minorHAnsi" w:cs="Arial"/>
          <w:b/>
          <w:szCs w:val="22"/>
          <w:u w:val="single"/>
        </w:rPr>
        <w:t>co do zasady – w okresie 12 miesięcy od zakończenia okresu realizacji projektu określonego w umowie o dofinansowaniu projektu lub, o ile wynika to ze specyfiki projektu, od uruchomienia przedsięwzięcia, przy czym osiągnięte wartości wykazywane są w korekcie do wniosku o płatność końcową.</w:t>
      </w:r>
    </w:p>
    <w:p w14:paraId="3A4B72C4" w14:textId="77777777" w:rsidR="0032765F" w:rsidRPr="00911273" w:rsidRDefault="0032765F" w:rsidP="007650AC">
      <w:pPr>
        <w:spacing w:line="240" w:lineRule="auto"/>
        <w:rPr>
          <w:szCs w:val="22"/>
        </w:rPr>
      </w:pPr>
    </w:p>
    <w:sectPr w:rsidR="0032765F" w:rsidRPr="00911273" w:rsidSect="00D721EE">
      <w:headerReference w:type="default" r:id="rId8"/>
      <w:footerReference w:type="default" r:id="rId9"/>
      <w:pgSz w:w="11906" w:h="16838"/>
      <w:pgMar w:top="1417" w:right="1417" w:bottom="1417" w:left="141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C2DC3" w14:textId="77777777" w:rsidR="008E26DA" w:rsidRDefault="008E26DA" w:rsidP="008C495E">
      <w:pPr>
        <w:spacing w:before="0" w:line="240" w:lineRule="auto"/>
      </w:pPr>
      <w:r>
        <w:separator/>
      </w:r>
    </w:p>
  </w:endnote>
  <w:endnote w:type="continuationSeparator" w:id="0">
    <w:p w14:paraId="5BAF7D9A" w14:textId="77777777" w:rsidR="008E26DA" w:rsidRDefault="008E26DA"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Narrow">
    <w:altName w:val="Arial"/>
    <w:charset w:val="00"/>
    <w:family w:val="swiss"/>
    <w:pitch w:val="default"/>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1871597478"/>
      <w:docPartObj>
        <w:docPartGallery w:val="Page Numbers (Bottom of Page)"/>
        <w:docPartUnique/>
      </w:docPartObj>
    </w:sdtPr>
    <w:sdtEndPr/>
    <w:sdtContent>
      <w:sdt>
        <w:sdtPr>
          <w:rPr>
            <w:rFonts w:asciiTheme="minorHAnsi" w:hAnsiTheme="minorHAnsi"/>
            <w:sz w:val="20"/>
          </w:rPr>
          <w:id w:val="-1669238322"/>
          <w:docPartObj>
            <w:docPartGallery w:val="Page Numbers (Top of Page)"/>
            <w:docPartUnique/>
          </w:docPartObj>
        </w:sdtPr>
        <w:sdtEndPr/>
        <w:sdtContent>
          <w:p w14:paraId="13A83B35" w14:textId="77777777" w:rsidR="00D721EE" w:rsidRPr="00D721EE" w:rsidRDefault="00D721EE">
            <w:pPr>
              <w:pStyle w:val="Stopka"/>
              <w:jc w:val="center"/>
              <w:rPr>
                <w:rFonts w:asciiTheme="minorHAnsi" w:hAnsiTheme="minorHAnsi"/>
                <w:sz w:val="20"/>
              </w:rPr>
            </w:pPr>
            <w:r w:rsidRPr="00D721EE">
              <w:rPr>
                <w:rFonts w:asciiTheme="minorHAnsi" w:hAnsiTheme="minorHAnsi"/>
                <w:sz w:val="20"/>
              </w:rPr>
              <w:t xml:space="preserve">Strona </w:t>
            </w:r>
            <w:r w:rsidR="00FE7037" w:rsidRPr="00D721EE">
              <w:rPr>
                <w:rFonts w:asciiTheme="minorHAnsi" w:hAnsiTheme="minorHAnsi"/>
                <w:b/>
                <w:bCs/>
                <w:sz w:val="20"/>
              </w:rPr>
              <w:fldChar w:fldCharType="begin"/>
            </w:r>
            <w:r w:rsidRPr="00D721EE">
              <w:rPr>
                <w:rFonts w:asciiTheme="minorHAnsi" w:hAnsiTheme="minorHAnsi"/>
                <w:b/>
                <w:bCs/>
                <w:sz w:val="20"/>
              </w:rPr>
              <w:instrText>PAGE</w:instrText>
            </w:r>
            <w:r w:rsidR="00FE7037" w:rsidRPr="00D721EE">
              <w:rPr>
                <w:rFonts w:asciiTheme="minorHAnsi" w:hAnsiTheme="minorHAnsi"/>
                <w:b/>
                <w:bCs/>
                <w:sz w:val="20"/>
              </w:rPr>
              <w:fldChar w:fldCharType="separate"/>
            </w:r>
            <w:r w:rsidR="003D6011">
              <w:rPr>
                <w:rFonts w:asciiTheme="minorHAnsi" w:hAnsiTheme="minorHAnsi"/>
                <w:b/>
                <w:bCs/>
                <w:noProof/>
                <w:sz w:val="20"/>
              </w:rPr>
              <w:t>12</w:t>
            </w:r>
            <w:r w:rsidR="00FE7037" w:rsidRPr="00D721EE">
              <w:rPr>
                <w:rFonts w:asciiTheme="minorHAnsi" w:hAnsiTheme="minorHAnsi"/>
                <w:b/>
                <w:bCs/>
                <w:sz w:val="20"/>
              </w:rPr>
              <w:fldChar w:fldCharType="end"/>
            </w:r>
            <w:r w:rsidRPr="00D721EE">
              <w:rPr>
                <w:rFonts w:asciiTheme="minorHAnsi" w:hAnsiTheme="minorHAnsi"/>
                <w:sz w:val="20"/>
              </w:rPr>
              <w:t xml:space="preserve"> z </w:t>
            </w:r>
            <w:r w:rsidR="00FE7037" w:rsidRPr="00D721EE">
              <w:rPr>
                <w:rFonts w:asciiTheme="minorHAnsi" w:hAnsiTheme="minorHAnsi"/>
                <w:b/>
                <w:bCs/>
                <w:sz w:val="20"/>
              </w:rPr>
              <w:fldChar w:fldCharType="begin"/>
            </w:r>
            <w:r w:rsidRPr="00D721EE">
              <w:rPr>
                <w:rFonts w:asciiTheme="minorHAnsi" w:hAnsiTheme="minorHAnsi"/>
                <w:b/>
                <w:bCs/>
                <w:sz w:val="20"/>
              </w:rPr>
              <w:instrText>NUMPAGES</w:instrText>
            </w:r>
            <w:r w:rsidR="00FE7037" w:rsidRPr="00D721EE">
              <w:rPr>
                <w:rFonts w:asciiTheme="minorHAnsi" w:hAnsiTheme="minorHAnsi"/>
                <w:b/>
                <w:bCs/>
                <w:sz w:val="20"/>
              </w:rPr>
              <w:fldChar w:fldCharType="separate"/>
            </w:r>
            <w:r w:rsidR="003D6011">
              <w:rPr>
                <w:rFonts w:asciiTheme="minorHAnsi" w:hAnsiTheme="minorHAnsi"/>
                <w:b/>
                <w:bCs/>
                <w:noProof/>
                <w:sz w:val="20"/>
              </w:rPr>
              <w:t>12</w:t>
            </w:r>
            <w:r w:rsidR="00FE7037" w:rsidRPr="00D721EE">
              <w:rPr>
                <w:rFonts w:asciiTheme="minorHAnsi" w:hAnsiTheme="minorHAnsi"/>
                <w:b/>
                <w:bCs/>
                <w:sz w:val="20"/>
              </w:rPr>
              <w:fldChar w:fldCharType="end"/>
            </w:r>
          </w:p>
        </w:sdtContent>
      </w:sdt>
    </w:sdtContent>
  </w:sdt>
  <w:p w14:paraId="37F4232A" w14:textId="77777777" w:rsidR="00D721EE" w:rsidRPr="00D721EE" w:rsidRDefault="00D721EE">
    <w:pPr>
      <w:pStyle w:val="Stopka"/>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A96E5" w14:textId="77777777" w:rsidR="008E26DA" w:rsidRDefault="008E26DA" w:rsidP="008C495E">
      <w:pPr>
        <w:spacing w:before="0" w:line="240" w:lineRule="auto"/>
      </w:pPr>
      <w:r>
        <w:separator/>
      </w:r>
    </w:p>
  </w:footnote>
  <w:footnote w:type="continuationSeparator" w:id="0">
    <w:p w14:paraId="54952C4F" w14:textId="77777777" w:rsidR="008E26DA" w:rsidRDefault="008E26DA" w:rsidP="008C495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E1E32" w14:textId="77777777" w:rsidR="00C0278F" w:rsidRPr="00C0278F" w:rsidRDefault="00C0278F" w:rsidP="00FA0CF9">
    <w:pPr>
      <w:pStyle w:val="Nagwek"/>
      <w:jc w:val="right"/>
      <w:rPr>
        <w:rFonts w:asciiTheme="minorHAnsi" w:hAnsiTheme="minorHAnsi"/>
        <w:sz w:val="20"/>
      </w:rPr>
    </w:pPr>
    <w:r>
      <w:tab/>
    </w:r>
    <w:r w:rsidRPr="00C0278F">
      <w:rPr>
        <w:rFonts w:asciiTheme="minorHAnsi" w:hAnsiTheme="minorHAnsi"/>
        <w:sz w:val="20"/>
      </w:rPr>
      <w:t xml:space="preserve">Załącznik  nr </w:t>
    </w:r>
    <w:r w:rsidR="00246A66">
      <w:rPr>
        <w:rFonts w:asciiTheme="minorHAnsi" w:hAnsiTheme="minorHAnsi"/>
        <w:sz w:val="20"/>
      </w:rPr>
      <w:t>1</w:t>
    </w:r>
    <w:r w:rsidR="007704B3">
      <w:rPr>
        <w:rFonts w:asciiTheme="minorHAnsi" w:hAnsiTheme="minorHAnsi"/>
        <w:sz w:val="20"/>
      </w:rPr>
      <w:t xml:space="preserve"> do </w:t>
    </w:r>
    <w:r w:rsidR="00246A66">
      <w:rPr>
        <w:rFonts w:asciiTheme="minorHAnsi" w:hAnsiTheme="minorHAnsi"/>
        <w:sz w:val="20"/>
      </w:rPr>
      <w:t>Instrukcji wypełniania wniosku o dofinansowanie</w:t>
    </w:r>
  </w:p>
  <w:p w14:paraId="0A101F80" w14:textId="1DA426BC" w:rsidR="00FA0CF9" w:rsidRPr="00FA0CF9" w:rsidRDefault="00D442FF" w:rsidP="00FA0CF9">
    <w:pPr>
      <w:tabs>
        <w:tab w:val="left" w:pos="5190"/>
      </w:tabs>
      <w:spacing w:before="0" w:line="240" w:lineRule="auto"/>
      <w:jc w:val="center"/>
      <w:rPr>
        <w:rFonts w:ascii="Calibri" w:hAnsi="Calibri" w:cs="Arial"/>
        <w:sz w:val="20"/>
      </w:rPr>
    </w:pPr>
    <w:r>
      <w:rPr>
        <w:rFonts w:ascii="Calibri" w:hAnsi="Calibri" w:cs="Arial"/>
        <w:sz w:val="20"/>
      </w:rPr>
      <w:t xml:space="preserve">                                                                                                                                               </w:t>
    </w:r>
    <w:r w:rsidR="00FA0CF9" w:rsidRPr="00FA0CF9">
      <w:rPr>
        <w:rFonts w:ascii="Calibri" w:hAnsi="Calibri" w:cs="Arial"/>
        <w:sz w:val="20"/>
      </w:rPr>
      <w:t>RPDS.03.03.01-IP.01-02-3</w:t>
    </w:r>
    <w:r w:rsidR="00C55D7D">
      <w:rPr>
        <w:rFonts w:ascii="Calibri" w:hAnsi="Calibri" w:cs="Arial"/>
        <w:sz w:val="20"/>
      </w:rPr>
      <w:t>30</w:t>
    </w:r>
    <w:r w:rsidR="00FA0CF9" w:rsidRPr="00FA0CF9">
      <w:rPr>
        <w:rFonts w:ascii="Calibri" w:hAnsi="Calibri" w:cs="Arial"/>
        <w:sz w:val="20"/>
      </w:rPr>
      <w:t>/18</w:t>
    </w:r>
  </w:p>
  <w:p w14:paraId="42AD516F" w14:textId="5E7423E7" w:rsidR="00C0278F" w:rsidRPr="00C55D7D" w:rsidRDefault="00FA0CF9" w:rsidP="00C55D7D">
    <w:pPr>
      <w:tabs>
        <w:tab w:val="left" w:pos="6379"/>
      </w:tabs>
      <w:spacing w:before="0" w:line="240" w:lineRule="auto"/>
      <w:jc w:val="center"/>
      <w:rPr>
        <w:rFonts w:ascii="Calibri" w:hAnsi="Calibri" w:cs="Arial"/>
        <w:sz w:val="20"/>
      </w:rPr>
    </w:pPr>
    <w:r>
      <w:rPr>
        <w:rFonts w:ascii="Calibri" w:hAnsi="Calibri" w:cs="Arial"/>
        <w:sz w:val="20"/>
      </w:rPr>
      <w:t xml:space="preserve">                                                                                                                                               </w:t>
    </w:r>
    <w:r w:rsidRPr="00FA0CF9">
      <w:rPr>
        <w:rFonts w:ascii="Calibri" w:hAnsi="Calibri" w:cs="Arial"/>
        <w:sz w:val="20"/>
      </w:rPr>
      <w:t>RPDS.03.03.01-IP.01-02-3</w:t>
    </w:r>
    <w:r w:rsidR="00C55D7D">
      <w:rPr>
        <w:rFonts w:ascii="Calibri" w:hAnsi="Calibri" w:cs="Arial"/>
        <w:sz w:val="20"/>
      </w:rPr>
      <w:t>31</w:t>
    </w:r>
    <w:r w:rsidRPr="00FA0CF9">
      <w:rPr>
        <w:rFonts w:ascii="Calibri" w:hAnsi="Calibri" w:cs="Arial"/>
        <w:sz w:val="20"/>
      </w:rPr>
      <w:t xml:space="preserve">/18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537D190F"/>
    <w:multiLevelType w:val="hybridMultilevel"/>
    <w:tmpl w:val="E9DA0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C3C6B44"/>
    <w:multiLevelType w:val="hybridMultilevel"/>
    <w:tmpl w:val="BC78D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8"/>
  </w:num>
  <w:num w:numId="8">
    <w:abstractNumId w:val="10"/>
  </w:num>
  <w:num w:numId="9">
    <w:abstractNumId w:val="0"/>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5E"/>
    <w:rsid w:val="000167BD"/>
    <w:rsid w:val="00026AB3"/>
    <w:rsid w:val="000278EA"/>
    <w:rsid w:val="00027BD7"/>
    <w:rsid w:val="0006794A"/>
    <w:rsid w:val="00094C3F"/>
    <w:rsid w:val="000C57E0"/>
    <w:rsid w:val="000D2E5C"/>
    <w:rsid w:val="000F5C98"/>
    <w:rsid w:val="00114550"/>
    <w:rsid w:val="0011515E"/>
    <w:rsid w:val="00141571"/>
    <w:rsid w:val="00151BAD"/>
    <w:rsid w:val="0015486C"/>
    <w:rsid w:val="0015550B"/>
    <w:rsid w:val="00155D4E"/>
    <w:rsid w:val="0017262A"/>
    <w:rsid w:val="0019058D"/>
    <w:rsid w:val="00191605"/>
    <w:rsid w:val="001932A6"/>
    <w:rsid w:val="001B7345"/>
    <w:rsid w:val="001C4F9E"/>
    <w:rsid w:val="001C7885"/>
    <w:rsid w:val="0020180C"/>
    <w:rsid w:val="002320F4"/>
    <w:rsid w:val="00243817"/>
    <w:rsid w:val="00246A66"/>
    <w:rsid w:val="00253FAA"/>
    <w:rsid w:val="0026298C"/>
    <w:rsid w:val="002835B6"/>
    <w:rsid w:val="002972E4"/>
    <w:rsid w:val="002A36BE"/>
    <w:rsid w:val="002A537C"/>
    <w:rsid w:val="002D5507"/>
    <w:rsid w:val="002E6E1E"/>
    <w:rsid w:val="002F6273"/>
    <w:rsid w:val="00304DDB"/>
    <w:rsid w:val="0032304F"/>
    <w:rsid w:val="00323264"/>
    <w:rsid w:val="0032765F"/>
    <w:rsid w:val="00327D85"/>
    <w:rsid w:val="00332CDB"/>
    <w:rsid w:val="00340A6B"/>
    <w:rsid w:val="00346FD6"/>
    <w:rsid w:val="00363BBA"/>
    <w:rsid w:val="00370466"/>
    <w:rsid w:val="003C55C7"/>
    <w:rsid w:val="003D2C3D"/>
    <w:rsid w:val="003D3BC5"/>
    <w:rsid w:val="003D5C89"/>
    <w:rsid w:val="003D6011"/>
    <w:rsid w:val="003E7930"/>
    <w:rsid w:val="003F1889"/>
    <w:rsid w:val="004059B1"/>
    <w:rsid w:val="0041446A"/>
    <w:rsid w:val="00421C29"/>
    <w:rsid w:val="0042602E"/>
    <w:rsid w:val="00426168"/>
    <w:rsid w:val="00433A72"/>
    <w:rsid w:val="0046263E"/>
    <w:rsid w:val="00471B0C"/>
    <w:rsid w:val="00475728"/>
    <w:rsid w:val="00476947"/>
    <w:rsid w:val="004A4593"/>
    <w:rsid w:val="004B303A"/>
    <w:rsid w:val="004F2D8E"/>
    <w:rsid w:val="004F6746"/>
    <w:rsid w:val="005038EA"/>
    <w:rsid w:val="00504998"/>
    <w:rsid w:val="00516B06"/>
    <w:rsid w:val="00522930"/>
    <w:rsid w:val="0052529C"/>
    <w:rsid w:val="00530BAE"/>
    <w:rsid w:val="00535E8F"/>
    <w:rsid w:val="00555321"/>
    <w:rsid w:val="00562F10"/>
    <w:rsid w:val="005657D8"/>
    <w:rsid w:val="005E16D7"/>
    <w:rsid w:val="005F02A1"/>
    <w:rsid w:val="005F0E5F"/>
    <w:rsid w:val="0060140B"/>
    <w:rsid w:val="0061342E"/>
    <w:rsid w:val="00620A45"/>
    <w:rsid w:val="00630C8E"/>
    <w:rsid w:val="00635DB0"/>
    <w:rsid w:val="00647E9F"/>
    <w:rsid w:val="006647E2"/>
    <w:rsid w:val="006A00D7"/>
    <w:rsid w:val="006A049D"/>
    <w:rsid w:val="006A09F0"/>
    <w:rsid w:val="006C652C"/>
    <w:rsid w:val="00701E65"/>
    <w:rsid w:val="00704B1F"/>
    <w:rsid w:val="00704D10"/>
    <w:rsid w:val="0072791E"/>
    <w:rsid w:val="007300ED"/>
    <w:rsid w:val="00741B27"/>
    <w:rsid w:val="007650AC"/>
    <w:rsid w:val="00766AC5"/>
    <w:rsid w:val="007704B3"/>
    <w:rsid w:val="007707F9"/>
    <w:rsid w:val="007801FE"/>
    <w:rsid w:val="00781388"/>
    <w:rsid w:val="00787387"/>
    <w:rsid w:val="007B5608"/>
    <w:rsid w:val="007B7577"/>
    <w:rsid w:val="007D1CF1"/>
    <w:rsid w:val="007D7DE7"/>
    <w:rsid w:val="007E025A"/>
    <w:rsid w:val="007E18A9"/>
    <w:rsid w:val="007E6D53"/>
    <w:rsid w:val="007E73B8"/>
    <w:rsid w:val="00801546"/>
    <w:rsid w:val="0083665B"/>
    <w:rsid w:val="00855888"/>
    <w:rsid w:val="00883644"/>
    <w:rsid w:val="008869B8"/>
    <w:rsid w:val="00890B1A"/>
    <w:rsid w:val="008A09D1"/>
    <w:rsid w:val="008A195C"/>
    <w:rsid w:val="008A5B45"/>
    <w:rsid w:val="008B21E1"/>
    <w:rsid w:val="008B2B8D"/>
    <w:rsid w:val="008B73B1"/>
    <w:rsid w:val="008C0973"/>
    <w:rsid w:val="008C2482"/>
    <w:rsid w:val="008C495E"/>
    <w:rsid w:val="008D01B4"/>
    <w:rsid w:val="008E26DA"/>
    <w:rsid w:val="008E3F0D"/>
    <w:rsid w:val="008F6F43"/>
    <w:rsid w:val="009024D3"/>
    <w:rsid w:val="00902C07"/>
    <w:rsid w:val="00904EC5"/>
    <w:rsid w:val="00911273"/>
    <w:rsid w:val="00934566"/>
    <w:rsid w:val="009456DB"/>
    <w:rsid w:val="00963759"/>
    <w:rsid w:val="00970A9F"/>
    <w:rsid w:val="009A5838"/>
    <w:rsid w:val="009D04DE"/>
    <w:rsid w:val="009D3C56"/>
    <w:rsid w:val="009E5D68"/>
    <w:rsid w:val="009E65D0"/>
    <w:rsid w:val="00A214C1"/>
    <w:rsid w:val="00A22869"/>
    <w:rsid w:val="00A409C8"/>
    <w:rsid w:val="00AB2D7A"/>
    <w:rsid w:val="00AD2437"/>
    <w:rsid w:val="00AF7C30"/>
    <w:rsid w:val="00B02A77"/>
    <w:rsid w:val="00B204DD"/>
    <w:rsid w:val="00B235B0"/>
    <w:rsid w:val="00B34C2E"/>
    <w:rsid w:val="00B62CD5"/>
    <w:rsid w:val="00B65B2E"/>
    <w:rsid w:val="00B70020"/>
    <w:rsid w:val="00B70A62"/>
    <w:rsid w:val="00B80838"/>
    <w:rsid w:val="00B83A65"/>
    <w:rsid w:val="00B840A9"/>
    <w:rsid w:val="00B87C4A"/>
    <w:rsid w:val="00B92DA6"/>
    <w:rsid w:val="00BA1B89"/>
    <w:rsid w:val="00BC03CE"/>
    <w:rsid w:val="00BC0A96"/>
    <w:rsid w:val="00BF3553"/>
    <w:rsid w:val="00C0278F"/>
    <w:rsid w:val="00C063C7"/>
    <w:rsid w:val="00C10532"/>
    <w:rsid w:val="00C3099E"/>
    <w:rsid w:val="00C31711"/>
    <w:rsid w:val="00C33C8B"/>
    <w:rsid w:val="00C40E8D"/>
    <w:rsid w:val="00C52AD1"/>
    <w:rsid w:val="00C55D7D"/>
    <w:rsid w:val="00C71210"/>
    <w:rsid w:val="00C746A8"/>
    <w:rsid w:val="00C8517F"/>
    <w:rsid w:val="00C90F5E"/>
    <w:rsid w:val="00C97EA0"/>
    <w:rsid w:val="00CC5D9D"/>
    <w:rsid w:val="00CC7758"/>
    <w:rsid w:val="00CE4F58"/>
    <w:rsid w:val="00CE73BE"/>
    <w:rsid w:val="00CF240C"/>
    <w:rsid w:val="00CF69D1"/>
    <w:rsid w:val="00D03CAB"/>
    <w:rsid w:val="00D11CB4"/>
    <w:rsid w:val="00D11E26"/>
    <w:rsid w:val="00D442FF"/>
    <w:rsid w:val="00D5098A"/>
    <w:rsid w:val="00D50C00"/>
    <w:rsid w:val="00D52C48"/>
    <w:rsid w:val="00D67100"/>
    <w:rsid w:val="00D72161"/>
    <w:rsid w:val="00D721EE"/>
    <w:rsid w:val="00D93881"/>
    <w:rsid w:val="00DB30EE"/>
    <w:rsid w:val="00DC565A"/>
    <w:rsid w:val="00DC686F"/>
    <w:rsid w:val="00DF026C"/>
    <w:rsid w:val="00DF6D97"/>
    <w:rsid w:val="00E1138F"/>
    <w:rsid w:val="00E209AD"/>
    <w:rsid w:val="00E32B6F"/>
    <w:rsid w:val="00E34254"/>
    <w:rsid w:val="00E41403"/>
    <w:rsid w:val="00E428FC"/>
    <w:rsid w:val="00E47419"/>
    <w:rsid w:val="00E50219"/>
    <w:rsid w:val="00E61834"/>
    <w:rsid w:val="00E61DFB"/>
    <w:rsid w:val="00E721CF"/>
    <w:rsid w:val="00E72468"/>
    <w:rsid w:val="00E80A29"/>
    <w:rsid w:val="00E90CA0"/>
    <w:rsid w:val="00E93BEA"/>
    <w:rsid w:val="00EA49EC"/>
    <w:rsid w:val="00EA68D3"/>
    <w:rsid w:val="00ED29D0"/>
    <w:rsid w:val="00EE4C8C"/>
    <w:rsid w:val="00EF7D56"/>
    <w:rsid w:val="00F02218"/>
    <w:rsid w:val="00F0518D"/>
    <w:rsid w:val="00F11106"/>
    <w:rsid w:val="00F45129"/>
    <w:rsid w:val="00F458CA"/>
    <w:rsid w:val="00F53C61"/>
    <w:rsid w:val="00F61B14"/>
    <w:rsid w:val="00F823C0"/>
    <w:rsid w:val="00F845E8"/>
    <w:rsid w:val="00FA0CF9"/>
    <w:rsid w:val="00FB5F16"/>
    <w:rsid w:val="00FB6A45"/>
    <w:rsid w:val="00FC6B1D"/>
    <w:rsid w:val="00FE1E99"/>
    <w:rsid w:val="00FE7037"/>
    <w:rsid w:val="00FF39E0"/>
    <w:rsid w:val="00FF6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F4DF62"/>
  <w15:docId w15:val="{1DF1C65E-A03A-4059-8689-7B9D59E9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410272907">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205148041">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sChild>
    </w:div>
    <w:div w:id="416563048">
      <w:bodyDiv w:val="1"/>
      <w:marLeft w:val="0"/>
      <w:marRight w:val="0"/>
      <w:marTop w:val="0"/>
      <w:marBottom w:val="0"/>
      <w:divBdr>
        <w:top w:val="none" w:sz="0" w:space="0" w:color="auto"/>
        <w:left w:val="none" w:sz="0" w:space="0" w:color="auto"/>
        <w:bottom w:val="none" w:sz="0" w:space="0" w:color="auto"/>
        <w:right w:val="none" w:sz="0" w:space="0" w:color="auto"/>
      </w:divBdr>
    </w:div>
    <w:div w:id="432435746">
      <w:bodyDiv w:val="1"/>
      <w:marLeft w:val="0"/>
      <w:marRight w:val="0"/>
      <w:marTop w:val="0"/>
      <w:marBottom w:val="0"/>
      <w:divBdr>
        <w:top w:val="none" w:sz="0" w:space="0" w:color="auto"/>
        <w:left w:val="none" w:sz="0" w:space="0" w:color="auto"/>
        <w:bottom w:val="none" w:sz="0" w:space="0" w:color="auto"/>
        <w:right w:val="none" w:sz="0" w:space="0" w:color="auto"/>
      </w:divBdr>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470942450">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694120005">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919873805">
      <w:bodyDiv w:val="1"/>
      <w:marLeft w:val="0"/>
      <w:marRight w:val="0"/>
      <w:marTop w:val="0"/>
      <w:marBottom w:val="0"/>
      <w:divBdr>
        <w:top w:val="none" w:sz="0" w:space="0" w:color="auto"/>
        <w:left w:val="none" w:sz="0" w:space="0" w:color="auto"/>
        <w:bottom w:val="none" w:sz="0" w:space="0" w:color="auto"/>
        <w:right w:val="none" w:sz="0" w:space="0" w:color="auto"/>
      </w:divBdr>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977882197">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113402654">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187788702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957559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sChild>
    </w:div>
    <w:div w:id="1227371837">
      <w:bodyDiv w:val="1"/>
      <w:marLeft w:val="0"/>
      <w:marRight w:val="0"/>
      <w:marTop w:val="0"/>
      <w:marBottom w:val="0"/>
      <w:divBdr>
        <w:top w:val="none" w:sz="0" w:space="0" w:color="auto"/>
        <w:left w:val="none" w:sz="0" w:space="0" w:color="auto"/>
        <w:bottom w:val="none" w:sz="0" w:space="0" w:color="auto"/>
        <w:right w:val="none" w:sz="0" w:space="0" w:color="auto"/>
      </w:divBdr>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569611060">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760">
      <w:bodyDiv w:val="1"/>
      <w:marLeft w:val="0"/>
      <w:marRight w:val="0"/>
      <w:marTop w:val="0"/>
      <w:marBottom w:val="0"/>
      <w:divBdr>
        <w:top w:val="none" w:sz="0" w:space="0" w:color="auto"/>
        <w:left w:val="none" w:sz="0" w:space="0" w:color="auto"/>
        <w:bottom w:val="none" w:sz="0" w:space="0" w:color="auto"/>
        <w:right w:val="none" w:sz="0" w:space="0" w:color="auto"/>
      </w:divBdr>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472715577">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244920123">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sChild>
    </w:div>
    <w:div w:id="2061586608">
      <w:bodyDiv w:val="1"/>
      <w:marLeft w:val="0"/>
      <w:marRight w:val="0"/>
      <w:marTop w:val="0"/>
      <w:marBottom w:val="0"/>
      <w:divBdr>
        <w:top w:val="none" w:sz="0" w:space="0" w:color="auto"/>
        <w:left w:val="none" w:sz="0" w:space="0" w:color="auto"/>
        <w:bottom w:val="none" w:sz="0" w:space="0" w:color="auto"/>
        <w:right w:val="none" w:sz="0" w:space="0" w:color="auto"/>
      </w:divBdr>
    </w:div>
    <w:div w:id="208190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99F34-E772-4A88-BEEE-E3024D8E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3505</Words>
  <Characters>21036</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Sylwia Gacek</cp:lastModifiedBy>
  <cp:revision>4</cp:revision>
  <cp:lastPrinted>2016-09-28T11:50:00Z</cp:lastPrinted>
  <dcterms:created xsi:type="dcterms:W3CDTF">2018-11-05T13:54:00Z</dcterms:created>
  <dcterms:modified xsi:type="dcterms:W3CDTF">2018-12-04T14:00:00Z</dcterms:modified>
</cp:coreProperties>
</file>