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03943" w14:textId="77777777" w:rsidR="00AF7C30" w:rsidRDefault="00AF7C30" w:rsidP="00AF7C30">
      <w:pPr>
        <w:autoSpaceDE w:val="0"/>
        <w:autoSpaceDN w:val="0"/>
        <w:adjustRightInd w:val="0"/>
        <w:spacing w:before="0" w:line="240" w:lineRule="auto"/>
        <w:jc w:val="center"/>
        <w:rPr>
          <w:rFonts w:asciiTheme="minorHAnsi" w:hAnsiTheme="minorHAnsi" w:cs="Calibri"/>
          <w:b/>
          <w:color w:val="000000"/>
          <w:szCs w:val="22"/>
        </w:rPr>
      </w:pPr>
      <w:bookmarkStart w:id="0" w:name="_Toc426632922"/>
      <w:bookmarkStart w:id="1" w:name="_Toc430826826"/>
      <w:bookmarkStart w:id="2" w:name="_Toc432758974"/>
    </w:p>
    <w:p w14:paraId="313FD0FF" w14:textId="10ABD5E4" w:rsidR="00FA0CF9" w:rsidRPr="00D52C48" w:rsidRDefault="00C97EA0" w:rsidP="00FA0CF9">
      <w:pPr>
        <w:jc w:val="center"/>
        <w:rPr>
          <w:rFonts w:asciiTheme="minorHAnsi" w:hAnsiTheme="minorHAnsi" w:cs="Calibri"/>
          <w:b/>
          <w:color w:val="000000"/>
        </w:rPr>
      </w:pPr>
      <w:r w:rsidRPr="00D52C48">
        <w:rPr>
          <w:rFonts w:asciiTheme="minorHAnsi" w:hAnsiTheme="minorHAnsi" w:cs="Calibri"/>
          <w:b/>
          <w:color w:val="000000"/>
        </w:rPr>
        <w:t xml:space="preserve">Lista wskaźników na poziomie projektu dla Działania </w:t>
      </w:r>
      <w:r w:rsidR="00FA0CF9" w:rsidRPr="00D52C48">
        <w:rPr>
          <w:rFonts w:asciiTheme="minorHAnsi" w:hAnsiTheme="minorHAnsi" w:cs="Calibri"/>
          <w:b/>
          <w:color w:val="000000"/>
        </w:rPr>
        <w:t>3.3</w:t>
      </w:r>
      <w:r w:rsidRPr="00D52C48">
        <w:rPr>
          <w:rFonts w:asciiTheme="minorHAnsi" w:hAnsiTheme="minorHAnsi" w:cs="Calibri"/>
          <w:b/>
          <w:color w:val="000000"/>
        </w:rPr>
        <w:t xml:space="preserve">, </w:t>
      </w:r>
      <w:r w:rsidR="00FA0CF9" w:rsidRPr="00D52C48">
        <w:rPr>
          <w:rFonts w:asciiTheme="minorHAnsi" w:hAnsiTheme="minorHAnsi" w:cs="Calibri"/>
          <w:b/>
          <w:color w:val="000000"/>
        </w:rPr>
        <w:t>Typ e</w:t>
      </w:r>
      <w:r w:rsidR="00FA0CF9" w:rsidRPr="00D52C48">
        <w:rPr>
          <w:rFonts w:asciiTheme="minorHAnsi" w:eastAsiaTheme="minorHAnsi" w:hAnsiTheme="minorHAnsi" w:cstheme="minorBidi"/>
          <w:b/>
          <w:szCs w:val="22"/>
          <w:lang w:eastAsia="en-US"/>
        </w:rPr>
        <w:t xml:space="preserve"> </w:t>
      </w:r>
      <w:r w:rsidR="00FA0CF9" w:rsidRPr="00D52C48">
        <w:rPr>
          <w:rFonts w:asciiTheme="minorHAnsi" w:hAnsiTheme="minorHAnsi" w:cs="Calibri"/>
          <w:b/>
          <w:color w:val="000000"/>
        </w:rPr>
        <w:t>Modernizacja systemów grzewczych i odnawialne źródła energii - projekty dotyczące zwalczania emisji kominowej – projekt</w:t>
      </w:r>
      <w:r w:rsidR="00E92C52">
        <w:rPr>
          <w:rFonts w:asciiTheme="minorHAnsi" w:hAnsiTheme="minorHAnsi" w:cs="Calibri"/>
          <w:b/>
          <w:color w:val="000000"/>
        </w:rPr>
        <w:t>y</w:t>
      </w:r>
      <w:r w:rsidR="00FA0CF9" w:rsidRPr="00D52C48">
        <w:rPr>
          <w:rFonts w:asciiTheme="minorHAnsi" w:hAnsiTheme="minorHAnsi" w:cs="Calibri"/>
          <w:b/>
          <w:color w:val="000000"/>
        </w:rPr>
        <w:t xml:space="preserve"> </w:t>
      </w:r>
      <w:r w:rsidR="00E92C52">
        <w:rPr>
          <w:rFonts w:asciiTheme="minorHAnsi" w:hAnsiTheme="minorHAnsi" w:cs="Calibri"/>
          <w:b/>
          <w:color w:val="000000"/>
        </w:rPr>
        <w:t>nie</w:t>
      </w:r>
      <w:r w:rsidR="00FA0CF9" w:rsidRPr="00D52C48">
        <w:rPr>
          <w:rFonts w:asciiTheme="minorHAnsi" w:hAnsiTheme="minorHAnsi" w:cs="Calibri"/>
          <w:b/>
          <w:color w:val="000000"/>
        </w:rPr>
        <w:t>grantow</w:t>
      </w:r>
      <w:r w:rsidR="00E92C52">
        <w:rPr>
          <w:rFonts w:asciiTheme="minorHAnsi" w:hAnsiTheme="minorHAnsi" w:cs="Calibri"/>
          <w:b/>
          <w:color w:val="000000"/>
        </w:rPr>
        <w:t>e</w:t>
      </w:r>
      <w:r w:rsidR="00FA0CF9" w:rsidRPr="00D52C48">
        <w:rPr>
          <w:rFonts w:asciiTheme="minorHAnsi" w:hAnsiTheme="minorHAnsi" w:cs="Calibri"/>
          <w:b/>
          <w:color w:val="000000"/>
        </w:rPr>
        <w:t xml:space="preserve"> </w:t>
      </w:r>
    </w:p>
    <w:p w14:paraId="1D17BD81" w14:textId="77777777" w:rsidR="00CF69D1" w:rsidRPr="00D52C48" w:rsidRDefault="00CF69D1" w:rsidP="00FA0CF9">
      <w:pPr>
        <w:autoSpaceDE w:val="0"/>
        <w:autoSpaceDN w:val="0"/>
        <w:spacing w:before="120" w:after="120" w:line="240" w:lineRule="auto"/>
        <w:rPr>
          <w:rFonts w:asciiTheme="minorHAnsi" w:eastAsiaTheme="minorHAnsi" w:hAnsiTheme="minorHAnsi" w:cs="Calibri"/>
          <w:szCs w:val="22"/>
          <w:lang w:eastAsia="en-US"/>
        </w:rPr>
      </w:pPr>
    </w:p>
    <w:bookmarkEnd w:id="0"/>
    <w:bookmarkEnd w:id="1"/>
    <w:bookmarkEnd w:id="2"/>
    <w:p w14:paraId="32CDC7AB" w14:textId="77777777" w:rsidR="00DF6D97" w:rsidRPr="00D52C48" w:rsidRDefault="00DF6D97" w:rsidP="00DF6D97">
      <w:pPr>
        <w:autoSpaceDE w:val="0"/>
        <w:autoSpaceDN w:val="0"/>
        <w:spacing w:before="120" w:after="120" w:line="240" w:lineRule="auto"/>
        <w:jc w:val="both"/>
        <w:rPr>
          <w:rFonts w:asciiTheme="minorHAnsi" w:eastAsiaTheme="minorHAnsi" w:hAnsiTheme="minorHAnsi" w:cs="Calibri"/>
          <w:szCs w:val="22"/>
          <w:lang w:eastAsia="en-US"/>
        </w:rPr>
      </w:pPr>
      <w:r w:rsidRPr="00D52C48">
        <w:rPr>
          <w:rFonts w:asciiTheme="minorHAnsi" w:eastAsiaTheme="minorHAnsi" w:hAnsiTheme="minorHAnsi" w:cs="Calibri"/>
          <w:szCs w:val="22"/>
          <w:lang w:eastAsia="en-US"/>
        </w:rPr>
        <w:t xml:space="preserve">Główną funkcją wskaźników jest zmierzenie, na ile cel główny projektu zostały zrealizowany. Wskaźniki służą ilościowej prezentacji działań podjętych w ramach projektu i ich rezultatów.  W trakcie realizacji projektu wskaźniki powinny umożliwiać mierzenie jego postępu względem celów projektu. </w:t>
      </w:r>
    </w:p>
    <w:p w14:paraId="1B71C1BE" w14:textId="77777777" w:rsidR="00DF6D97" w:rsidRPr="00D52C48" w:rsidRDefault="00DF6D97" w:rsidP="00DF6D97">
      <w:pPr>
        <w:autoSpaceDE w:val="0"/>
        <w:autoSpaceDN w:val="0"/>
        <w:spacing w:before="120" w:after="120" w:line="240" w:lineRule="auto"/>
        <w:jc w:val="both"/>
        <w:rPr>
          <w:rFonts w:asciiTheme="minorHAnsi" w:hAnsiTheme="minorHAnsi"/>
          <w:szCs w:val="22"/>
        </w:rPr>
      </w:pPr>
      <w:r w:rsidRPr="00D52C48">
        <w:rPr>
          <w:rFonts w:asciiTheme="minorHAnsi" w:eastAsiaTheme="minorHAnsi" w:hAnsiTheme="minorHAnsi" w:cs="Calibri"/>
          <w:szCs w:val="22"/>
          <w:lang w:eastAsia="en-US"/>
        </w:rPr>
        <w:t xml:space="preserve">Wybór wskaźników projektu powinien być powiązany z typem realizowanego przedsięwzięcia </w:t>
      </w:r>
      <w:r w:rsidRPr="00D52C48">
        <w:rPr>
          <w:rFonts w:asciiTheme="minorHAnsi" w:eastAsiaTheme="minorHAnsi" w:hAnsiTheme="minorHAnsi" w:cs="Calibri"/>
          <w:szCs w:val="22"/>
          <w:lang w:eastAsia="en-US"/>
        </w:rPr>
        <w:br/>
        <w:t xml:space="preserve">i planowanymi działaniami, które Wnioskodawca zamierza podjąć w ramach projektu. </w:t>
      </w:r>
      <w:r w:rsidRPr="00D52C48">
        <w:rPr>
          <w:rFonts w:asciiTheme="minorHAnsi" w:eastAsiaTheme="minorHAnsi" w:hAnsiTheme="minorHAnsi" w:cs="Calibri"/>
          <w:bCs/>
          <w:szCs w:val="22"/>
          <w:lang w:eastAsia="en-US"/>
        </w:rPr>
        <w:t>Do celu głównego projektu Wnioskodawca powinien dobrać odpowiednie wskaźniki, produktu i rezultatu</w:t>
      </w:r>
      <w:r w:rsidRPr="00D52C48">
        <w:rPr>
          <w:rFonts w:asciiTheme="minorHAnsi" w:eastAsiaTheme="minorHAnsi" w:hAnsiTheme="minorHAnsi" w:cs="Calibri"/>
          <w:szCs w:val="22"/>
          <w:lang w:eastAsia="en-US"/>
        </w:rPr>
        <w:t xml:space="preserve"> bezpośredniego. Muszą być logicznie powiązane z projektem i spójne. </w:t>
      </w:r>
    </w:p>
    <w:p w14:paraId="76224899" w14:textId="77777777" w:rsidR="00DF6D97" w:rsidRPr="00D52C48" w:rsidRDefault="00DF6D97" w:rsidP="00DF6D97">
      <w:pPr>
        <w:autoSpaceDE w:val="0"/>
        <w:autoSpaceDN w:val="0"/>
        <w:spacing w:before="120" w:after="120" w:line="240" w:lineRule="auto"/>
        <w:jc w:val="both"/>
        <w:rPr>
          <w:rFonts w:asciiTheme="minorHAnsi" w:eastAsiaTheme="minorHAnsi" w:hAnsiTheme="minorHAnsi" w:cs="Calibri"/>
          <w:szCs w:val="22"/>
          <w:lang w:eastAsia="en-US"/>
        </w:rPr>
      </w:pPr>
      <w:r w:rsidRPr="00D52C48">
        <w:rPr>
          <w:rFonts w:asciiTheme="minorHAnsi" w:hAnsiTheme="minorHAnsi"/>
          <w:szCs w:val="22"/>
        </w:rPr>
        <w:t>Każdy ze wskaźników powinien posiadać następujące cechy:</w:t>
      </w:r>
    </w:p>
    <w:p w14:paraId="1C4806BA" w14:textId="77777777" w:rsidR="00DF6D97" w:rsidRPr="00D52C4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D52C48">
        <w:rPr>
          <w:rFonts w:asciiTheme="minorHAnsi" w:hAnsiTheme="minorHAnsi"/>
          <w:szCs w:val="22"/>
        </w:rPr>
        <w:t>adekwatność – wskaźnik powinien być dostosowany do charakteru projektu oraz oczekiwanych efektów związanych z jego realizacją;</w:t>
      </w:r>
    </w:p>
    <w:p w14:paraId="1236CBD7" w14:textId="77777777" w:rsidR="00DF6D97" w:rsidRPr="00D52C4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D52C48">
        <w:rPr>
          <w:rFonts w:asciiTheme="minorHAnsi" w:hAnsiTheme="minorHAnsi"/>
          <w:szCs w:val="22"/>
        </w:rPr>
        <w:t>mierzalność – wskaźnik powinien być kwantyfikowalny, tj. wyrażony w wartościach liczbowych bądź finansowych;</w:t>
      </w:r>
    </w:p>
    <w:p w14:paraId="5B36A868" w14:textId="77777777" w:rsidR="00DF6D97" w:rsidRPr="00D52C4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D52C48">
        <w:rPr>
          <w:rFonts w:asciiTheme="minorHAnsi" w:hAnsiTheme="minorHAnsi"/>
          <w:szCs w:val="22"/>
        </w:rPr>
        <w:t>wiarygodność – wskaźnik powinien być zdefiniowany w taki sposób, aby jego weryfikacja nie powodowała utrudnień;</w:t>
      </w:r>
    </w:p>
    <w:p w14:paraId="5AE78B8D" w14:textId="77777777" w:rsidR="00DF6D97" w:rsidRPr="00D52C4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D52C48">
        <w:rPr>
          <w:rFonts w:asciiTheme="minorHAnsi" w:hAnsiTheme="minorHAnsi"/>
          <w:szCs w:val="22"/>
        </w:rPr>
        <w:t>dostępność – wskaźnik powinien być łatwy do określenia w wyniku realizacji projektu;</w:t>
      </w:r>
    </w:p>
    <w:p w14:paraId="7FE17E08" w14:textId="77777777" w:rsidR="00DF6D97" w:rsidRPr="00D52C4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D52C48">
        <w:rPr>
          <w:rFonts w:asciiTheme="minorHAnsi" w:hAnsiTheme="minorHAnsi"/>
          <w:szCs w:val="22"/>
        </w:rPr>
        <w:t>określony w czasie – wartość wskaźnika powinna zostać określona w czasie, tj. określony rok osiągnięcia wartości docelowej wskaźnika oraz okres, w którym będzie mierzony wskaźnik</w:t>
      </w:r>
    </w:p>
    <w:p w14:paraId="08ACE2A2" w14:textId="77777777" w:rsidR="00DF6D97" w:rsidRPr="00D52C48" w:rsidRDefault="00DF6D97" w:rsidP="00DF6D97">
      <w:pPr>
        <w:autoSpaceDE w:val="0"/>
        <w:autoSpaceDN w:val="0"/>
        <w:adjustRightInd w:val="0"/>
        <w:spacing w:before="120" w:after="120" w:line="240" w:lineRule="auto"/>
        <w:jc w:val="both"/>
        <w:rPr>
          <w:rFonts w:asciiTheme="minorHAnsi" w:eastAsiaTheme="minorHAnsi" w:hAnsiTheme="minorHAnsi" w:cs="Calibri"/>
          <w:szCs w:val="22"/>
          <w:lang w:eastAsia="en-US"/>
        </w:rPr>
      </w:pPr>
      <w:r w:rsidRPr="00D52C48">
        <w:rPr>
          <w:rFonts w:asciiTheme="minorHAnsi" w:eastAsiaTheme="minorHAnsi" w:hAnsiTheme="minorHAnsi" w:cs="Calibri"/>
          <w:szCs w:val="22"/>
          <w:lang w:eastAsia="en-US"/>
        </w:rPr>
        <w:t xml:space="preserve">Odpowiednio we wniosku o dofinansowanie należy określić, w jaki sposób mierzona będzie realizacja celu poprzez ustalenie wskaźników. </w:t>
      </w:r>
    </w:p>
    <w:p w14:paraId="6B7F1FB7" w14:textId="77777777" w:rsidR="00DF6D97" w:rsidRPr="00D52C48" w:rsidRDefault="00DF6D97" w:rsidP="00DF6D97">
      <w:pPr>
        <w:spacing w:before="120" w:after="120" w:line="240" w:lineRule="auto"/>
        <w:jc w:val="both"/>
        <w:rPr>
          <w:rFonts w:asciiTheme="minorHAnsi" w:hAnsiTheme="minorHAnsi"/>
          <w:b/>
          <w:szCs w:val="22"/>
        </w:rPr>
      </w:pPr>
    </w:p>
    <w:p w14:paraId="06F09889" w14:textId="77777777" w:rsidR="00DF6D97" w:rsidRPr="00D52C48" w:rsidRDefault="00DF6D97" w:rsidP="00DF6D97">
      <w:pPr>
        <w:spacing w:before="120" w:after="120" w:line="240" w:lineRule="auto"/>
        <w:jc w:val="both"/>
        <w:rPr>
          <w:rFonts w:asciiTheme="minorHAnsi" w:hAnsiTheme="minorHAnsi"/>
          <w:b/>
          <w:szCs w:val="22"/>
        </w:rPr>
      </w:pPr>
      <w:r w:rsidRPr="00D52C48">
        <w:rPr>
          <w:rFonts w:asciiTheme="minorHAnsi" w:hAnsiTheme="minorHAnsi"/>
          <w:b/>
          <w:szCs w:val="22"/>
        </w:rPr>
        <w:t>W ramach RPO WD 2014-2020 rozróżnia się następujące wskaźniki:</w:t>
      </w:r>
    </w:p>
    <w:p w14:paraId="5718665B" w14:textId="77777777" w:rsidR="00DF6D97" w:rsidRPr="00D52C48"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D52C48">
        <w:rPr>
          <w:rFonts w:asciiTheme="minorHAnsi" w:hAnsiTheme="minorHAnsi"/>
          <w:b/>
          <w:szCs w:val="22"/>
        </w:rPr>
        <w:t>obligatoryjne – wskaźniki ujęte w RPO WD 2014-2020, SZOOP RPO WD 2014-2020</w:t>
      </w:r>
    </w:p>
    <w:p w14:paraId="5E1B9FCD" w14:textId="77777777" w:rsidR="00DF6D97" w:rsidRPr="00D52C48"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D52C48">
        <w:rPr>
          <w:rFonts w:asciiTheme="minorHAnsi" w:hAnsiTheme="minorHAnsi"/>
          <w:b/>
          <w:szCs w:val="22"/>
        </w:rPr>
        <w:t xml:space="preserve">horyzontalne </w:t>
      </w:r>
    </w:p>
    <w:p w14:paraId="64CE6725" w14:textId="77777777" w:rsidR="00DF6D97" w:rsidRPr="00D52C48"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D52C48">
        <w:rPr>
          <w:rFonts w:asciiTheme="minorHAnsi" w:hAnsiTheme="minorHAnsi"/>
          <w:b/>
          <w:szCs w:val="22"/>
        </w:rPr>
        <w:t>dodatkowe – wskaźniki projektowe</w:t>
      </w:r>
    </w:p>
    <w:p w14:paraId="5D57D0F4" w14:textId="77777777" w:rsidR="00DF6D97" w:rsidRPr="00D52C48" w:rsidRDefault="00DF6D97" w:rsidP="00DF6D97">
      <w:pPr>
        <w:pStyle w:val="Akapitzlist"/>
        <w:spacing w:before="120" w:after="120" w:line="240" w:lineRule="auto"/>
        <w:ind w:left="720"/>
        <w:jc w:val="both"/>
        <w:rPr>
          <w:rFonts w:asciiTheme="minorHAnsi" w:hAnsiTheme="minorHAnsi"/>
          <w:b/>
          <w:szCs w:val="22"/>
        </w:rPr>
      </w:pPr>
    </w:p>
    <w:p w14:paraId="0CF80AAB" w14:textId="77777777" w:rsidR="00DF6D97" w:rsidRPr="00D52C48" w:rsidRDefault="00DF6D97" w:rsidP="00DF6D97">
      <w:pPr>
        <w:pStyle w:val="Nagwek1"/>
        <w:spacing w:before="120" w:after="120" w:line="240" w:lineRule="auto"/>
        <w:jc w:val="both"/>
        <w:rPr>
          <w:rFonts w:asciiTheme="minorHAnsi" w:hAnsiTheme="minorHAnsi"/>
          <w:sz w:val="22"/>
          <w:szCs w:val="22"/>
        </w:rPr>
      </w:pPr>
      <w:r w:rsidRPr="00D52C48">
        <w:rPr>
          <w:rFonts w:asciiTheme="minorHAnsi" w:hAnsiTheme="minorHAnsi"/>
          <w:sz w:val="22"/>
          <w:szCs w:val="22"/>
        </w:rPr>
        <w:t>Wymagania w zakresie wskaźników w projekcie</w:t>
      </w:r>
    </w:p>
    <w:p w14:paraId="22BDF66C" w14:textId="77777777" w:rsidR="00DF6D97" w:rsidRPr="00D52C48" w:rsidRDefault="00DF6D97" w:rsidP="00DF6D97">
      <w:pPr>
        <w:pStyle w:val="Default"/>
        <w:jc w:val="both"/>
        <w:rPr>
          <w:rFonts w:asciiTheme="minorHAnsi" w:eastAsiaTheme="minorHAnsi" w:hAnsiTheme="minorHAnsi" w:cs="Calibri"/>
          <w:sz w:val="22"/>
          <w:szCs w:val="22"/>
          <w:lang w:eastAsia="en-US"/>
        </w:rPr>
      </w:pPr>
      <w:r w:rsidRPr="00D52C48">
        <w:rPr>
          <w:rFonts w:asciiTheme="minorHAnsi" w:eastAsiaTheme="minorHAnsi" w:hAnsiTheme="minorHAnsi" w:cs="Calibri"/>
          <w:sz w:val="22"/>
          <w:szCs w:val="22"/>
          <w:lang w:eastAsia="en-US"/>
        </w:rPr>
        <w:t xml:space="preserve">W ramach wniosku o dofinansowanie projektu Wnioskodawca określa </w:t>
      </w:r>
      <w:r w:rsidRPr="00D52C48">
        <w:rPr>
          <w:rFonts w:asciiTheme="minorHAnsi" w:eastAsiaTheme="minorHAnsi" w:hAnsiTheme="minorHAnsi" w:cs="Calibri"/>
          <w:b/>
          <w:bCs/>
          <w:sz w:val="22"/>
          <w:szCs w:val="22"/>
          <w:lang w:eastAsia="en-US"/>
        </w:rPr>
        <w:t>wskaźniki służące pomiarowi działań i celów założonych w projekcie.</w:t>
      </w:r>
      <w:r w:rsidRPr="00D52C48">
        <w:rPr>
          <w:rFonts w:asciiTheme="minorHAnsi" w:eastAsiaTheme="minorHAnsi" w:hAnsiTheme="minorHAnsi" w:cs="Calibri"/>
          <w:sz w:val="22"/>
          <w:szCs w:val="22"/>
          <w:lang w:eastAsia="en-US"/>
        </w:rPr>
        <w:t xml:space="preserve"> Wskaźniki w ramach projektu należy określić mając </w:t>
      </w:r>
      <w:r w:rsidRPr="00D52C48">
        <w:rPr>
          <w:rFonts w:asciiTheme="minorHAnsi" w:eastAsiaTheme="minorHAnsi" w:hAnsiTheme="minorHAnsi" w:cs="Calibri"/>
          <w:sz w:val="22"/>
          <w:szCs w:val="22"/>
          <w:lang w:eastAsia="en-US"/>
        </w:rPr>
        <w:br/>
        <w:t>w szczególności na uwadze zapisy niniejszego regulaminu.</w:t>
      </w:r>
    </w:p>
    <w:p w14:paraId="6CA35ED4" w14:textId="77777777" w:rsidR="00DF6D97" w:rsidRPr="00D52C48" w:rsidRDefault="00DF6D97" w:rsidP="00DF6D97">
      <w:pPr>
        <w:pStyle w:val="Default"/>
        <w:jc w:val="both"/>
        <w:rPr>
          <w:rFonts w:asciiTheme="minorHAnsi" w:eastAsiaTheme="minorHAnsi" w:hAnsiTheme="minorHAnsi" w:cs="Calibri"/>
          <w:sz w:val="22"/>
          <w:szCs w:val="22"/>
          <w:lang w:eastAsia="en-US"/>
        </w:rPr>
      </w:pPr>
    </w:p>
    <w:p w14:paraId="5279E3CD" w14:textId="77777777" w:rsidR="00DF6D97" w:rsidRPr="00D52C48" w:rsidRDefault="00DF6D97" w:rsidP="00DF6D97">
      <w:pPr>
        <w:pStyle w:val="Default"/>
        <w:jc w:val="both"/>
        <w:rPr>
          <w:rFonts w:asciiTheme="minorHAnsi" w:hAnsiTheme="minorHAnsi"/>
          <w:b/>
          <w:sz w:val="22"/>
          <w:szCs w:val="22"/>
        </w:rPr>
      </w:pPr>
      <w:r w:rsidRPr="00D52C48">
        <w:rPr>
          <w:rFonts w:asciiTheme="minorHAnsi" w:eastAsiaTheme="minorHAnsi" w:hAnsiTheme="minorHAnsi" w:cs="Calibri"/>
          <w:sz w:val="22"/>
          <w:szCs w:val="22"/>
          <w:lang w:eastAsia="en-US"/>
        </w:rPr>
        <w:t xml:space="preserve"> </w:t>
      </w:r>
      <w:r w:rsidRPr="00D52C48">
        <w:rPr>
          <w:rFonts w:asciiTheme="minorHAnsi" w:hAnsiTheme="minorHAnsi"/>
          <w:b/>
          <w:sz w:val="22"/>
          <w:szCs w:val="22"/>
        </w:rPr>
        <w:t xml:space="preserve">W przypadku, gdy w ramach danego Działania uwzględniony został wskaźnik z RPO WD 2014-2020, który odzwierciedla zakres projektu, jego wykazanie dla Wnioskodawcy jest obligatoryjne. </w:t>
      </w:r>
    </w:p>
    <w:p w14:paraId="292501D2" w14:textId="77777777" w:rsidR="00DF6D97" w:rsidRPr="00D52C48" w:rsidRDefault="00DF6D97" w:rsidP="008B73B1">
      <w:pPr>
        <w:autoSpaceDE w:val="0"/>
        <w:autoSpaceDN w:val="0"/>
        <w:adjustRightInd w:val="0"/>
        <w:spacing w:line="240" w:lineRule="auto"/>
        <w:ind w:firstLine="708"/>
        <w:jc w:val="both"/>
        <w:rPr>
          <w:rFonts w:asciiTheme="minorHAnsi" w:hAnsiTheme="minorHAnsi" w:cs="Arial"/>
          <w:color w:val="000000"/>
          <w:szCs w:val="22"/>
        </w:rPr>
      </w:pPr>
      <w:r w:rsidRPr="00D52C48">
        <w:rPr>
          <w:rFonts w:asciiTheme="minorHAnsi" w:hAnsiTheme="minorHAnsi" w:cs="Arial"/>
          <w:b/>
          <w:color w:val="000000"/>
          <w:szCs w:val="22"/>
        </w:rPr>
        <w:t>W</w:t>
      </w:r>
      <w:r w:rsidRPr="00D52C48">
        <w:rPr>
          <w:rFonts w:asciiTheme="minorHAnsi" w:hAnsiTheme="minorHAnsi" w:cs="Arial"/>
          <w:b/>
          <w:bCs/>
          <w:color w:val="000000"/>
          <w:szCs w:val="22"/>
        </w:rPr>
        <w:t>skaźniki produktu</w:t>
      </w:r>
      <w:r w:rsidRPr="00D52C48">
        <w:rPr>
          <w:rFonts w:asciiTheme="minorHAnsi" w:hAnsiTheme="minorHAnsi" w:cs="Arial"/>
          <w:bCs/>
          <w:color w:val="000000"/>
          <w:szCs w:val="22"/>
        </w:rPr>
        <w:t xml:space="preserve"> są to wskaźniki powiązane bezpośrednio z wydatkami ponoszonymi </w:t>
      </w:r>
      <w:r w:rsidRPr="00D52C48">
        <w:rPr>
          <w:rFonts w:asciiTheme="minorHAnsi" w:hAnsiTheme="minorHAnsi" w:cs="Arial"/>
          <w:bCs/>
          <w:color w:val="000000"/>
          <w:szCs w:val="22"/>
        </w:rPr>
        <w:br/>
        <w:t>w projekcie</w:t>
      </w:r>
      <w:r w:rsidRPr="00D52C48">
        <w:rPr>
          <w:rFonts w:asciiTheme="minorHAnsi" w:hAnsiTheme="minorHAnsi" w:cs="Arial"/>
          <w:color w:val="000000"/>
          <w:szCs w:val="22"/>
        </w:rPr>
        <w:t>, mierzone konkretnymi wielkościami. Liczone są w jednostkach fizycznych lub monetarnych. Wybrane przez Wnioskodawcę wskaźniki muszą być adekwatne do zakresu projektu oraz mają być powiązane z głównymi kategoriami wydatków w projekcie.</w:t>
      </w:r>
    </w:p>
    <w:p w14:paraId="0BC3A0AC" w14:textId="77777777" w:rsidR="00DF6D97" w:rsidRPr="00D52C48" w:rsidRDefault="00DF6D97" w:rsidP="00DF6D97">
      <w:pPr>
        <w:pStyle w:val="Default"/>
        <w:jc w:val="both"/>
        <w:rPr>
          <w:rFonts w:asciiTheme="minorHAnsi" w:hAnsiTheme="minorHAnsi"/>
          <w:sz w:val="22"/>
          <w:szCs w:val="22"/>
        </w:rPr>
      </w:pPr>
      <w:r w:rsidRPr="00D52C48">
        <w:rPr>
          <w:rFonts w:asciiTheme="minorHAnsi" w:hAnsiTheme="minorHAnsi"/>
          <w:sz w:val="22"/>
          <w:szCs w:val="22"/>
        </w:rPr>
        <w:lastRenderedPageBreak/>
        <w:t xml:space="preserve">Dla każdego z wybranych wskaźników Wnioskodawca zobowiązany jest do wskazania </w:t>
      </w:r>
      <w:r w:rsidRPr="00D52C48">
        <w:rPr>
          <w:rFonts w:asciiTheme="minorHAnsi" w:hAnsiTheme="minorHAnsi"/>
          <w:i/>
          <w:sz w:val="22"/>
          <w:szCs w:val="22"/>
        </w:rPr>
        <w:t>„Jednostki miary”</w:t>
      </w:r>
      <w:r w:rsidRPr="00D52C48">
        <w:rPr>
          <w:rFonts w:asciiTheme="minorHAnsi" w:hAnsiTheme="minorHAnsi"/>
          <w:sz w:val="22"/>
          <w:szCs w:val="22"/>
        </w:rPr>
        <w:t xml:space="preserve">, </w:t>
      </w:r>
      <w:r w:rsidRPr="00D52C48">
        <w:rPr>
          <w:rFonts w:asciiTheme="minorHAnsi" w:hAnsiTheme="minorHAnsi"/>
          <w:i/>
          <w:sz w:val="22"/>
          <w:szCs w:val="22"/>
        </w:rPr>
        <w:t>„Wartości bazowej”</w:t>
      </w:r>
      <w:r w:rsidRPr="00D52C48">
        <w:rPr>
          <w:rFonts w:asciiTheme="minorHAnsi" w:hAnsiTheme="minorHAnsi"/>
          <w:sz w:val="22"/>
          <w:szCs w:val="22"/>
        </w:rPr>
        <w:t xml:space="preserve">, </w:t>
      </w:r>
      <w:r w:rsidRPr="00D52C48">
        <w:rPr>
          <w:rFonts w:asciiTheme="minorHAnsi" w:hAnsiTheme="minorHAnsi"/>
          <w:i/>
          <w:sz w:val="22"/>
          <w:szCs w:val="22"/>
        </w:rPr>
        <w:t>„Wartości docelowej wskaźnika”</w:t>
      </w:r>
      <w:r w:rsidRPr="00D52C48">
        <w:rPr>
          <w:rFonts w:asciiTheme="minorHAnsi" w:hAnsiTheme="minorHAnsi"/>
          <w:sz w:val="22"/>
          <w:szCs w:val="22"/>
        </w:rPr>
        <w:t xml:space="preserve">, a także </w:t>
      </w:r>
      <w:r w:rsidRPr="00D52C48">
        <w:rPr>
          <w:rFonts w:asciiTheme="minorHAnsi" w:hAnsiTheme="minorHAnsi"/>
          <w:i/>
          <w:sz w:val="22"/>
          <w:szCs w:val="22"/>
        </w:rPr>
        <w:t>„Źródła informacji o wskaźniku”</w:t>
      </w:r>
      <w:r w:rsidRPr="00D52C48">
        <w:rPr>
          <w:rFonts w:asciiTheme="minorHAnsi" w:hAnsiTheme="minorHAnsi"/>
          <w:sz w:val="22"/>
          <w:szCs w:val="22"/>
        </w:rPr>
        <w:t xml:space="preserve">. </w:t>
      </w:r>
    </w:p>
    <w:p w14:paraId="6AF78F9E" w14:textId="77777777" w:rsidR="00DF6D97" w:rsidRPr="00D52C48" w:rsidRDefault="00DF6D97" w:rsidP="00DF6D97">
      <w:pPr>
        <w:pStyle w:val="Default"/>
        <w:jc w:val="both"/>
        <w:rPr>
          <w:rFonts w:asciiTheme="minorHAnsi" w:hAnsiTheme="minorHAnsi"/>
          <w:sz w:val="22"/>
          <w:szCs w:val="22"/>
        </w:rPr>
      </w:pPr>
      <w:r w:rsidRPr="00D52C48">
        <w:rPr>
          <w:rFonts w:asciiTheme="minorHAnsi" w:hAnsiTheme="minorHAnsi"/>
          <w:sz w:val="22"/>
          <w:szCs w:val="22"/>
        </w:rPr>
        <w:t xml:space="preserve">Wartość docelowa dla wskaźnika produktu to wyrażony liczbowo stan danego wskaźnika na moment zakończenia rzeczowej realizacji projektu. </w:t>
      </w:r>
    </w:p>
    <w:p w14:paraId="364D95E3" w14:textId="77777777" w:rsidR="00DF6D97" w:rsidRPr="00D52C48" w:rsidRDefault="00DF6D97" w:rsidP="00DF6D97">
      <w:pPr>
        <w:pStyle w:val="Default"/>
        <w:jc w:val="both"/>
        <w:rPr>
          <w:rFonts w:asciiTheme="minorHAnsi" w:hAnsiTheme="minorHAnsi"/>
          <w:sz w:val="22"/>
          <w:szCs w:val="22"/>
        </w:rPr>
      </w:pPr>
      <w:r w:rsidRPr="00D52C48">
        <w:rPr>
          <w:rFonts w:asciiTheme="minorHAnsi" w:hAnsiTheme="minorHAnsi"/>
          <w:sz w:val="22"/>
          <w:szCs w:val="22"/>
        </w:rPr>
        <w:t xml:space="preserve">Jako źródło informacji o wskaźniku wskazać należy odpowiedni dokument (np. protokół odbioru robót). </w:t>
      </w:r>
    </w:p>
    <w:p w14:paraId="03EA316D" w14:textId="101F0D23" w:rsidR="0083665B" w:rsidRPr="00D52C48" w:rsidRDefault="00DF6D97" w:rsidP="00DF6D97">
      <w:pPr>
        <w:autoSpaceDE w:val="0"/>
        <w:autoSpaceDN w:val="0"/>
        <w:adjustRightInd w:val="0"/>
        <w:spacing w:before="120" w:after="120" w:line="240" w:lineRule="auto"/>
        <w:jc w:val="both"/>
        <w:rPr>
          <w:rFonts w:asciiTheme="minorHAnsi" w:hAnsiTheme="minorHAnsi"/>
          <w:b/>
          <w:szCs w:val="22"/>
        </w:rPr>
      </w:pPr>
      <w:r w:rsidRPr="00D52C48">
        <w:rPr>
          <w:rFonts w:asciiTheme="minorHAnsi" w:hAnsiTheme="minorHAnsi"/>
          <w:szCs w:val="22"/>
        </w:rPr>
        <w:t xml:space="preserve">W ramach Działania </w:t>
      </w:r>
      <w:r w:rsidR="00FA0CF9" w:rsidRPr="00D52C48">
        <w:rPr>
          <w:rFonts w:asciiTheme="minorHAnsi" w:hAnsiTheme="minorHAnsi"/>
          <w:szCs w:val="22"/>
        </w:rPr>
        <w:t>3.3 e</w:t>
      </w:r>
      <w:r w:rsidRPr="00D52C48">
        <w:rPr>
          <w:rFonts w:asciiTheme="minorHAnsi" w:hAnsiTheme="minorHAnsi"/>
          <w:szCs w:val="22"/>
        </w:rPr>
        <w:t xml:space="preserve"> określono poniższe wskaźniki </w:t>
      </w:r>
      <w:r w:rsidRPr="00D52C48">
        <w:rPr>
          <w:rFonts w:asciiTheme="minorHAnsi" w:hAnsiTheme="minorHAnsi"/>
          <w:b/>
          <w:szCs w:val="22"/>
        </w:rPr>
        <w:t>produktu:</w:t>
      </w:r>
    </w:p>
    <w:tbl>
      <w:tblPr>
        <w:tblW w:w="5171"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234"/>
        <w:gridCol w:w="1011"/>
        <w:gridCol w:w="4678"/>
        <w:gridCol w:w="1683"/>
      </w:tblGrid>
      <w:tr w:rsidR="00370466" w:rsidRPr="00D52C48" w14:paraId="4C1C482F" w14:textId="77777777" w:rsidTr="007B5608">
        <w:trPr>
          <w:cantSplit/>
          <w:trHeight w:val="20"/>
          <w:jc w:val="center"/>
        </w:trPr>
        <w:tc>
          <w:tcPr>
            <w:tcW w:w="1163" w:type="pct"/>
            <w:shd w:val="clear" w:color="auto" w:fill="auto"/>
            <w:vAlign w:val="center"/>
          </w:tcPr>
          <w:p w14:paraId="4A76E19D" w14:textId="77777777" w:rsidR="005657D8" w:rsidRPr="00D52C48" w:rsidRDefault="005657D8" w:rsidP="00EE4C8C">
            <w:pPr>
              <w:spacing w:before="0" w:line="240" w:lineRule="auto"/>
              <w:jc w:val="center"/>
              <w:rPr>
                <w:rFonts w:asciiTheme="minorHAnsi" w:hAnsiTheme="minorHAnsi"/>
                <w:b/>
                <w:szCs w:val="22"/>
              </w:rPr>
            </w:pPr>
            <w:r w:rsidRPr="00D52C48">
              <w:rPr>
                <w:rFonts w:asciiTheme="minorHAnsi" w:hAnsiTheme="minorHAnsi"/>
                <w:b/>
                <w:szCs w:val="22"/>
              </w:rPr>
              <w:t>Nazwa wskaźnika produktu</w:t>
            </w:r>
          </w:p>
        </w:tc>
        <w:tc>
          <w:tcPr>
            <w:tcW w:w="526" w:type="pct"/>
            <w:vAlign w:val="center"/>
          </w:tcPr>
          <w:p w14:paraId="4DBA14A8" w14:textId="77777777" w:rsidR="005657D8" w:rsidRPr="00D52C48" w:rsidRDefault="005657D8" w:rsidP="00EE4C8C">
            <w:pPr>
              <w:suppressAutoHyphens/>
              <w:spacing w:before="0" w:line="240" w:lineRule="auto"/>
              <w:jc w:val="center"/>
              <w:rPr>
                <w:rFonts w:asciiTheme="minorHAnsi" w:hAnsiTheme="minorHAnsi"/>
                <w:b/>
                <w:bCs/>
                <w:szCs w:val="22"/>
              </w:rPr>
            </w:pPr>
            <w:r w:rsidRPr="00D52C48">
              <w:rPr>
                <w:rFonts w:asciiTheme="minorHAnsi" w:hAnsiTheme="minorHAnsi"/>
                <w:b/>
                <w:bCs/>
                <w:szCs w:val="22"/>
              </w:rPr>
              <w:t>Jednostka miary</w:t>
            </w:r>
          </w:p>
        </w:tc>
        <w:tc>
          <w:tcPr>
            <w:tcW w:w="2435" w:type="pct"/>
            <w:shd w:val="clear" w:color="auto" w:fill="auto"/>
            <w:vAlign w:val="center"/>
          </w:tcPr>
          <w:p w14:paraId="76B75BF3" w14:textId="77777777" w:rsidR="005657D8" w:rsidRPr="00D52C48" w:rsidRDefault="005657D8" w:rsidP="00EE4C8C">
            <w:pPr>
              <w:suppressAutoHyphens/>
              <w:spacing w:before="0" w:line="240" w:lineRule="auto"/>
              <w:jc w:val="center"/>
              <w:rPr>
                <w:rFonts w:asciiTheme="minorHAnsi" w:hAnsiTheme="minorHAnsi"/>
                <w:b/>
                <w:szCs w:val="22"/>
              </w:rPr>
            </w:pPr>
            <w:r w:rsidRPr="00D52C48">
              <w:rPr>
                <w:rFonts w:asciiTheme="minorHAnsi" w:hAnsiTheme="minorHAnsi"/>
                <w:b/>
                <w:bCs/>
                <w:szCs w:val="22"/>
              </w:rPr>
              <w:t>Definicja wskaźnika</w:t>
            </w:r>
          </w:p>
        </w:tc>
        <w:tc>
          <w:tcPr>
            <w:tcW w:w="876" w:type="pct"/>
            <w:vAlign w:val="center"/>
          </w:tcPr>
          <w:p w14:paraId="734F8132" w14:textId="77777777" w:rsidR="005657D8" w:rsidRPr="00D52C48" w:rsidRDefault="005657D8" w:rsidP="00EE4C8C">
            <w:pPr>
              <w:suppressAutoHyphens/>
              <w:spacing w:before="0" w:line="240" w:lineRule="auto"/>
              <w:jc w:val="center"/>
              <w:rPr>
                <w:rFonts w:asciiTheme="minorHAnsi" w:hAnsiTheme="minorHAnsi"/>
                <w:b/>
                <w:bCs/>
                <w:szCs w:val="22"/>
              </w:rPr>
            </w:pPr>
            <w:r w:rsidRPr="00D52C48">
              <w:rPr>
                <w:rFonts w:asciiTheme="minorHAnsi" w:hAnsiTheme="minorHAnsi"/>
                <w:b/>
                <w:bCs/>
                <w:szCs w:val="22"/>
              </w:rPr>
              <w:t>Rodzaj dokumentu, w</w:t>
            </w:r>
            <w:r w:rsidR="007E025A" w:rsidRPr="00D52C48">
              <w:rPr>
                <w:rFonts w:asciiTheme="minorHAnsi" w:hAnsiTheme="minorHAnsi"/>
                <w:b/>
                <w:bCs/>
                <w:szCs w:val="22"/>
              </w:rPr>
              <w:t> </w:t>
            </w:r>
            <w:r w:rsidRPr="00D52C48">
              <w:rPr>
                <w:rFonts w:asciiTheme="minorHAnsi" w:hAnsiTheme="minorHAnsi"/>
                <w:b/>
                <w:bCs/>
                <w:szCs w:val="22"/>
              </w:rPr>
              <w:t>którym określono wskaźnik</w:t>
            </w:r>
          </w:p>
        </w:tc>
      </w:tr>
      <w:tr w:rsidR="00FA0CF9" w:rsidRPr="00D52C48" w14:paraId="6C49C202" w14:textId="77777777" w:rsidTr="007B5608">
        <w:trPr>
          <w:cantSplit/>
          <w:trHeight w:val="20"/>
          <w:jc w:val="center"/>
        </w:trPr>
        <w:tc>
          <w:tcPr>
            <w:tcW w:w="1163" w:type="pct"/>
            <w:shd w:val="clear" w:color="auto" w:fill="auto"/>
            <w:vAlign w:val="center"/>
          </w:tcPr>
          <w:p w14:paraId="745629EB" w14:textId="54B071D7" w:rsidR="00FA0CF9" w:rsidRPr="00D52C48" w:rsidRDefault="00FA0CF9" w:rsidP="00EE4C8C">
            <w:pPr>
              <w:spacing w:before="0" w:line="240" w:lineRule="auto"/>
              <w:jc w:val="center"/>
              <w:rPr>
                <w:rFonts w:asciiTheme="minorHAnsi" w:hAnsiTheme="minorHAnsi" w:cs="Arial"/>
                <w:szCs w:val="22"/>
              </w:rPr>
            </w:pPr>
            <w:r w:rsidRPr="00D52C48">
              <w:rPr>
                <w:rFonts w:asciiTheme="minorHAnsi" w:hAnsiTheme="minorHAnsi" w:cs="Arial"/>
                <w:szCs w:val="22"/>
              </w:rPr>
              <w:t>Liczba zmodernizowanych źródeł ciepła</w:t>
            </w:r>
          </w:p>
        </w:tc>
        <w:tc>
          <w:tcPr>
            <w:tcW w:w="526" w:type="pct"/>
            <w:vAlign w:val="center"/>
          </w:tcPr>
          <w:p w14:paraId="28930AAB" w14:textId="4047AAD5" w:rsidR="00FA0CF9" w:rsidRPr="00D52C48" w:rsidRDefault="00FA0CF9" w:rsidP="00EE4C8C">
            <w:pPr>
              <w:suppressAutoHyphens/>
              <w:spacing w:before="0" w:line="240" w:lineRule="auto"/>
              <w:jc w:val="center"/>
              <w:rPr>
                <w:rFonts w:asciiTheme="minorHAnsi" w:hAnsiTheme="minorHAnsi" w:cs="Arial"/>
                <w:szCs w:val="22"/>
              </w:rPr>
            </w:pPr>
            <w:r w:rsidRPr="00D52C48">
              <w:rPr>
                <w:rFonts w:asciiTheme="minorHAnsi" w:hAnsiTheme="minorHAnsi" w:cs="ArialNarrow"/>
                <w:color w:val="000000" w:themeColor="text1"/>
                <w:szCs w:val="22"/>
              </w:rPr>
              <w:t>[szt.]</w:t>
            </w:r>
          </w:p>
        </w:tc>
        <w:tc>
          <w:tcPr>
            <w:tcW w:w="2435" w:type="pct"/>
            <w:shd w:val="clear" w:color="auto" w:fill="auto"/>
            <w:vAlign w:val="center"/>
          </w:tcPr>
          <w:p w14:paraId="2C0D03FC" w14:textId="1B70CFAA" w:rsidR="00FA0CF9" w:rsidRPr="00D52C48" w:rsidRDefault="00A22869" w:rsidP="00A22869">
            <w:pPr>
              <w:suppressAutoHyphens/>
              <w:spacing w:before="0" w:line="240" w:lineRule="auto"/>
              <w:jc w:val="both"/>
              <w:rPr>
                <w:rFonts w:asciiTheme="minorHAnsi" w:hAnsiTheme="minorHAnsi" w:cs="Arial"/>
                <w:szCs w:val="22"/>
              </w:rPr>
            </w:pPr>
            <w:r w:rsidRPr="00D52C48">
              <w:rPr>
                <w:rFonts w:asciiTheme="minorHAnsi" w:hAnsiTheme="minorHAnsi" w:cs="TimesNewRoman,Bold"/>
                <w:szCs w:val="22"/>
              </w:rPr>
              <w:t>Liczba zmodernizowanych w wyniku realizacji projektu źródeł ciepła.</w:t>
            </w:r>
          </w:p>
        </w:tc>
        <w:tc>
          <w:tcPr>
            <w:tcW w:w="876" w:type="pct"/>
            <w:vAlign w:val="center"/>
          </w:tcPr>
          <w:p w14:paraId="0A5EA76D" w14:textId="64CA1A61" w:rsidR="00FA0CF9" w:rsidRPr="00D52C48" w:rsidRDefault="00FA0CF9" w:rsidP="00EE4C8C">
            <w:pPr>
              <w:suppressAutoHyphens/>
              <w:spacing w:before="0" w:line="240" w:lineRule="auto"/>
              <w:jc w:val="center"/>
              <w:rPr>
                <w:rFonts w:asciiTheme="minorHAnsi" w:hAnsiTheme="minorHAnsi" w:cs="Arial"/>
                <w:szCs w:val="22"/>
              </w:rPr>
            </w:pPr>
            <w:r w:rsidRPr="00D52C48">
              <w:rPr>
                <w:rFonts w:asciiTheme="minorHAnsi" w:hAnsiTheme="minorHAnsi"/>
                <w:szCs w:val="22"/>
              </w:rPr>
              <w:t>SZOOP RPO  WD 2014-2020</w:t>
            </w:r>
          </w:p>
        </w:tc>
      </w:tr>
      <w:tr w:rsidR="00FA0CF9" w:rsidRPr="00D52C48" w14:paraId="6010B26B" w14:textId="77777777" w:rsidTr="007B5608">
        <w:trPr>
          <w:cantSplit/>
          <w:trHeight w:val="20"/>
          <w:jc w:val="center"/>
        </w:trPr>
        <w:tc>
          <w:tcPr>
            <w:tcW w:w="1163" w:type="pct"/>
            <w:shd w:val="clear" w:color="auto" w:fill="auto"/>
            <w:vAlign w:val="center"/>
          </w:tcPr>
          <w:p w14:paraId="70FF4011" w14:textId="4A943C96" w:rsidR="00FA0CF9" w:rsidRPr="00D52C48" w:rsidRDefault="00FA0CF9" w:rsidP="00EE4C8C">
            <w:pPr>
              <w:spacing w:before="0" w:line="240" w:lineRule="auto"/>
              <w:jc w:val="center"/>
              <w:rPr>
                <w:rFonts w:asciiTheme="minorHAnsi" w:hAnsiTheme="minorHAnsi" w:cs="Arial"/>
                <w:szCs w:val="22"/>
              </w:rPr>
            </w:pPr>
            <w:r w:rsidRPr="00D52C48">
              <w:rPr>
                <w:rFonts w:asciiTheme="minorHAnsi" w:hAnsiTheme="minorHAnsi" w:cs="Arial"/>
                <w:szCs w:val="22"/>
              </w:rPr>
              <w:t>Liczba wybudowanych jednostek wytwarzania energii elektrycznej z OZE</w:t>
            </w:r>
          </w:p>
        </w:tc>
        <w:tc>
          <w:tcPr>
            <w:tcW w:w="526" w:type="pct"/>
            <w:vAlign w:val="center"/>
          </w:tcPr>
          <w:p w14:paraId="0B49C56A" w14:textId="13E33E2B" w:rsidR="00FA0CF9" w:rsidRPr="00D52C48" w:rsidRDefault="00FA0CF9" w:rsidP="00EE4C8C">
            <w:pPr>
              <w:suppressAutoHyphens/>
              <w:spacing w:before="0" w:line="240" w:lineRule="auto"/>
              <w:jc w:val="center"/>
              <w:rPr>
                <w:rFonts w:asciiTheme="minorHAnsi" w:hAnsiTheme="minorHAnsi" w:cs="ArialNarrow"/>
                <w:color w:val="000000" w:themeColor="text1"/>
                <w:szCs w:val="22"/>
              </w:rPr>
            </w:pPr>
            <w:r w:rsidRPr="00D52C48">
              <w:rPr>
                <w:rFonts w:asciiTheme="minorHAnsi" w:hAnsiTheme="minorHAnsi" w:cs="ArialNarrow"/>
                <w:color w:val="000000" w:themeColor="text1"/>
                <w:szCs w:val="22"/>
              </w:rPr>
              <w:t>[szt.]</w:t>
            </w:r>
          </w:p>
        </w:tc>
        <w:tc>
          <w:tcPr>
            <w:tcW w:w="2435" w:type="pct"/>
            <w:shd w:val="clear" w:color="auto" w:fill="auto"/>
            <w:vAlign w:val="center"/>
          </w:tcPr>
          <w:p w14:paraId="0A0DBAA3" w14:textId="77777777" w:rsidR="00A22869" w:rsidRPr="00D52C48" w:rsidRDefault="00A22869" w:rsidP="00A22869">
            <w:pPr>
              <w:suppressAutoHyphens/>
              <w:spacing w:before="0" w:line="240" w:lineRule="auto"/>
              <w:jc w:val="both"/>
              <w:rPr>
                <w:rFonts w:asciiTheme="minorHAnsi" w:hAnsiTheme="minorHAnsi" w:cs="TimesNewRoman,Bold"/>
                <w:szCs w:val="22"/>
              </w:rPr>
            </w:pPr>
            <w:r w:rsidRPr="00D52C48">
              <w:rPr>
                <w:rFonts w:asciiTheme="minorHAnsi" w:hAnsiTheme="minorHAnsi" w:cs="TimesNewRoman,Bold"/>
                <w:szCs w:val="22"/>
              </w:rPr>
              <w:t xml:space="preserve">Jednostka wytwarzania energii elektrycznej obejmuje: </w:t>
            </w:r>
          </w:p>
          <w:p w14:paraId="52F12661" w14:textId="4BBDC74C" w:rsidR="00A22869" w:rsidRPr="00D52C48" w:rsidRDefault="00A22869" w:rsidP="00A22869">
            <w:pPr>
              <w:suppressAutoHyphens/>
              <w:spacing w:before="0" w:line="240" w:lineRule="auto"/>
              <w:jc w:val="both"/>
              <w:rPr>
                <w:rFonts w:asciiTheme="minorHAnsi" w:hAnsiTheme="minorHAnsi" w:cs="TimesNewRoman,Bold"/>
                <w:szCs w:val="22"/>
              </w:rPr>
            </w:pPr>
            <w:r w:rsidRPr="00D52C48">
              <w:rPr>
                <w:rFonts w:asciiTheme="minorHAnsi" w:hAnsiTheme="minorHAnsi" w:cs="TimesNewRoman,Bold"/>
                <w:szCs w:val="22"/>
              </w:rPr>
              <w:t xml:space="preserve">w przypadku przedsiębiorstw energetycznych: jednostki wytwórcze – jednostka wytwórcza, to wyodrębniony zespół urządzeń należących do przedsiębiorstwa energetycznego, służący do wytwarzania energii z OZE i wyprowadzania mocy, opisany poprzez dane techniczne i handlowe, </w:t>
            </w:r>
          </w:p>
          <w:p w14:paraId="084A503C" w14:textId="203AC7BF" w:rsidR="00A22869" w:rsidRPr="00D52C48" w:rsidRDefault="00A22869" w:rsidP="00A22869">
            <w:pPr>
              <w:suppressAutoHyphens/>
              <w:spacing w:before="0" w:line="240" w:lineRule="auto"/>
              <w:jc w:val="both"/>
              <w:rPr>
                <w:rFonts w:asciiTheme="minorHAnsi" w:hAnsiTheme="minorHAnsi" w:cs="TimesNewRoman,Bold"/>
                <w:szCs w:val="22"/>
              </w:rPr>
            </w:pPr>
            <w:r w:rsidRPr="00D52C48">
              <w:rPr>
                <w:rFonts w:asciiTheme="minorHAnsi" w:hAnsiTheme="minorHAnsi" w:cs="TimesNewRoman,Bold"/>
                <w:szCs w:val="22"/>
              </w:rPr>
              <w:t>w przypadku budynków mieszkalnych i budynków użyteczności publicznej: zespół urządzeń służących do wytwarzania energii elektrycznej z OZE.</w:t>
            </w:r>
          </w:p>
          <w:p w14:paraId="28272317" w14:textId="25F4B1FD" w:rsidR="00FA0CF9" w:rsidRPr="00D52C48" w:rsidRDefault="00A22869" w:rsidP="00A22869">
            <w:pPr>
              <w:suppressAutoHyphens/>
              <w:spacing w:before="0" w:line="240" w:lineRule="auto"/>
              <w:jc w:val="both"/>
              <w:rPr>
                <w:rFonts w:asciiTheme="minorHAnsi" w:hAnsiTheme="minorHAnsi" w:cs="Arial"/>
                <w:szCs w:val="22"/>
              </w:rPr>
            </w:pPr>
            <w:r w:rsidRPr="00D52C48">
              <w:rPr>
                <w:rFonts w:asciiTheme="minorHAnsi" w:hAnsiTheme="minorHAnsi" w:cs="TimesNewRoman,Bold"/>
                <w:szCs w:val="22"/>
              </w:rPr>
              <w:t>Odnawialne źródła energii – rozumiane zgodnie z ustawą z dnia 20 lutego 2015 r. o odnawialnych źródłach energii.</w:t>
            </w:r>
          </w:p>
        </w:tc>
        <w:tc>
          <w:tcPr>
            <w:tcW w:w="876" w:type="pct"/>
            <w:vAlign w:val="center"/>
          </w:tcPr>
          <w:p w14:paraId="0079E9F3" w14:textId="1984C000" w:rsidR="00FA0CF9" w:rsidRPr="00D52C48" w:rsidRDefault="00FA0CF9" w:rsidP="00EE4C8C">
            <w:pPr>
              <w:suppressAutoHyphens/>
              <w:spacing w:before="0" w:line="240" w:lineRule="auto"/>
              <w:jc w:val="center"/>
              <w:rPr>
                <w:rFonts w:asciiTheme="minorHAnsi" w:hAnsiTheme="minorHAnsi"/>
                <w:szCs w:val="22"/>
              </w:rPr>
            </w:pPr>
            <w:r w:rsidRPr="00D52C48">
              <w:rPr>
                <w:rFonts w:asciiTheme="minorHAnsi" w:hAnsiTheme="minorHAnsi"/>
                <w:szCs w:val="22"/>
              </w:rPr>
              <w:t>SZOOP RPO  WD 2014-2020</w:t>
            </w:r>
          </w:p>
        </w:tc>
      </w:tr>
      <w:tr w:rsidR="00FA0CF9" w:rsidRPr="00D52C48" w14:paraId="6D6088AF" w14:textId="77777777" w:rsidTr="007B5608">
        <w:trPr>
          <w:cantSplit/>
          <w:trHeight w:val="20"/>
          <w:jc w:val="center"/>
        </w:trPr>
        <w:tc>
          <w:tcPr>
            <w:tcW w:w="1163" w:type="pct"/>
            <w:shd w:val="clear" w:color="auto" w:fill="auto"/>
            <w:vAlign w:val="center"/>
          </w:tcPr>
          <w:p w14:paraId="22C46301" w14:textId="169B17CF" w:rsidR="00FA0CF9" w:rsidRPr="00D52C48" w:rsidRDefault="00FA0CF9" w:rsidP="00EE4C8C">
            <w:pPr>
              <w:spacing w:before="0" w:line="240" w:lineRule="auto"/>
              <w:jc w:val="center"/>
              <w:rPr>
                <w:rFonts w:asciiTheme="minorHAnsi" w:hAnsiTheme="minorHAnsi" w:cs="Arial"/>
                <w:szCs w:val="22"/>
              </w:rPr>
            </w:pPr>
            <w:r w:rsidRPr="00D52C48">
              <w:rPr>
                <w:rFonts w:asciiTheme="minorHAnsi" w:hAnsiTheme="minorHAnsi" w:cs="Arial"/>
                <w:szCs w:val="22"/>
              </w:rPr>
              <w:t>Liczba wybudowanych jednostek wytwarzania energii cieplnej z OZE</w:t>
            </w:r>
          </w:p>
        </w:tc>
        <w:tc>
          <w:tcPr>
            <w:tcW w:w="526" w:type="pct"/>
            <w:vAlign w:val="center"/>
          </w:tcPr>
          <w:p w14:paraId="6316E8D0" w14:textId="11B8E598" w:rsidR="00FA0CF9" w:rsidRPr="00D52C48" w:rsidRDefault="00FA0CF9" w:rsidP="00EE4C8C">
            <w:pPr>
              <w:suppressAutoHyphens/>
              <w:spacing w:before="0" w:line="240" w:lineRule="auto"/>
              <w:jc w:val="center"/>
              <w:rPr>
                <w:rFonts w:asciiTheme="minorHAnsi" w:hAnsiTheme="minorHAnsi" w:cs="ArialNarrow"/>
                <w:color w:val="000000" w:themeColor="text1"/>
                <w:szCs w:val="22"/>
              </w:rPr>
            </w:pPr>
            <w:r w:rsidRPr="00D52C48">
              <w:rPr>
                <w:rFonts w:asciiTheme="minorHAnsi" w:hAnsiTheme="minorHAnsi" w:cs="ArialNarrow"/>
                <w:color w:val="000000" w:themeColor="text1"/>
                <w:szCs w:val="22"/>
              </w:rPr>
              <w:t>[szt.]</w:t>
            </w:r>
          </w:p>
        </w:tc>
        <w:tc>
          <w:tcPr>
            <w:tcW w:w="2435" w:type="pct"/>
            <w:shd w:val="clear" w:color="auto" w:fill="auto"/>
            <w:vAlign w:val="center"/>
          </w:tcPr>
          <w:p w14:paraId="6DFB36C7" w14:textId="77777777" w:rsidR="00A22869" w:rsidRPr="00D52C48" w:rsidRDefault="00A22869" w:rsidP="00A22869">
            <w:pPr>
              <w:autoSpaceDE w:val="0"/>
              <w:autoSpaceDN w:val="0"/>
              <w:adjustRightInd w:val="0"/>
              <w:spacing w:before="0" w:line="240" w:lineRule="auto"/>
              <w:jc w:val="both"/>
              <w:rPr>
                <w:rFonts w:asciiTheme="minorHAnsi" w:hAnsiTheme="minorHAnsi" w:cs="TimesNewRoman,Bold"/>
                <w:szCs w:val="22"/>
              </w:rPr>
            </w:pPr>
            <w:r w:rsidRPr="00D52C48">
              <w:rPr>
                <w:rFonts w:asciiTheme="minorHAnsi" w:hAnsiTheme="minorHAnsi" w:cs="TimesNewRoman,Bold"/>
                <w:szCs w:val="22"/>
              </w:rPr>
              <w:t xml:space="preserve">Jednostka wytwarzania energii cieplnej obejmuje: </w:t>
            </w:r>
          </w:p>
          <w:p w14:paraId="59715824" w14:textId="77777777" w:rsidR="00A22869" w:rsidRPr="00D52C48" w:rsidRDefault="00A22869" w:rsidP="00A22869">
            <w:pPr>
              <w:autoSpaceDE w:val="0"/>
              <w:autoSpaceDN w:val="0"/>
              <w:adjustRightInd w:val="0"/>
              <w:spacing w:before="0" w:line="240" w:lineRule="auto"/>
              <w:jc w:val="both"/>
              <w:rPr>
                <w:rFonts w:asciiTheme="minorHAnsi" w:hAnsiTheme="minorHAnsi" w:cs="TimesNewRoman,Bold"/>
                <w:szCs w:val="22"/>
              </w:rPr>
            </w:pPr>
            <w:r w:rsidRPr="00D52C48">
              <w:rPr>
                <w:rFonts w:asciiTheme="minorHAnsi" w:hAnsiTheme="minorHAnsi" w:cs="TimesNewRoman,Bold"/>
                <w:szCs w:val="22"/>
              </w:rPr>
              <w:t xml:space="preserve">w przypadku przedsiębiorstw energetycznych: jednostki wytwórcze – jednostka wytwórcza, to wyodrębniony zespół urządzeń należących do przedsiębiorstwa energetycznego, służący do wytwarzania energii z OZE i wyprowadzania mocy, opisany poprzez dane techniczne i handlowe, </w:t>
            </w:r>
          </w:p>
          <w:p w14:paraId="6C4F53FD" w14:textId="77777777" w:rsidR="00A22869" w:rsidRPr="00D52C48" w:rsidRDefault="00A22869" w:rsidP="00A22869">
            <w:pPr>
              <w:autoSpaceDE w:val="0"/>
              <w:autoSpaceDN w:val="0"/>
              <w:adjustRightInd w:val="0"/>
              <w:spacing w:before="0" w:line="240" w:lineRule="auto"/>
              <w:jc w:val="both"/>
              <w:rPr>
                <w:rFonts w:asciiTheme="minorHAnsi" w:hAnsiTheme="minorHAnsi" w:cs="TimesNewRoman,Bold"/>
                <w:szCs w:val="22"/>
              </w:rPr>
            </w:pPr>
            <w:r w:rsidRPr="00D52C48">
              <w:rPr>
                <w:rFonts w:asciiTheme="minorHAnsi" w:hAnsiTheme="minorHAnsi" w:cs="TimesNewRoman,Bold"/>
                <w:szCs w:val="22"/>
              </w:rPr>
              <w:t>w przypadku budynków mieszkalnych i budynków użyteczności publicznej: zespół urządzeń służących do wytwarzania energii cieplnej z OZE.</w:t>
            </w:r>
          </w:p>
          <w:p w14:paraId="3A55F4DD" w14:textId="77777777" w:rsidR="00A22869" w:rsidRPr="00D52C48" w:rsidRDefault="00A22869" w:rsidP="00A22869">
            <w:pPr>
              <w:autoSpaceDE w:val="0"/>
              <w:autoSpaceDN w:val="0"/>
              <w:adjustRightInd w:val="0"/>
              <w:spacing w:before="0" w:line="240" w:lineRule="auto"/>
              <w:jc w:val="both"/>
              <w:rPr>
                <w:rFonts w:asciiTheme="minorHAnsi" w:hAnsiTheme="minorHAnsi" w:cs="TimesNewRoman,Bold"/>
                <w:szCs w:val="22"/>
              </w:rPr>
            </w:pPr>
          </w:p>
          <w:p w14:paraId="00EE7066" w14:textId="0E9FA81E" w:rsidR="00FA0CF9" w:rsidRPr="00D52C48" w:rsidRDefault="00A22869" w:rsidP="00A22869">
            <w:pPr>
              <w:suppressAutoHyphens/>
              <w:spacing w:before="0" w:line="240" w:lineRule="auto"/>
              <w:jc w:val="both"/>
              <w:rPr>
                <w:rFonts w:asciiTheme="minorHAnsi" w:hAnsiTheme="minorHAnsi" w:cs="Arial"/>
                <w:szCs w:val="22"/>
              </w:rPr>
            </w:pPr>
            <w:r w:rsidRPr="00D52C48">
              <w:rPr>
                <w:rFonts w:asciiTheme="minorHAnsi" w:hAnsiTheme="minorHAnsi" w:cs="TimesNewRoman,Bold"/>
                <w:szCs w:val="22"/>
              </w:rPr>
              <w:t>Odnawialne źródła energii – rozumiane zgodnie z ustawą z dnia 20 lutego 2015 r. o odnawialnych źródłach energii.</w:t>
            </w:r>
          </w:p>
        </w:tc>
        <w:tc>
          <w:tcPr>
            <w:tcW w:w="876" w:type="pct"/>
            <w:vAlign w:val="center"/>
          </w:tcPr>
          <w:p w14:paraId="565A9DB2" w14:textId="6315501B" w:rsidR="00FA0CF9" w:rsidRPr="00D52C48" w:rsidRDefault="00FA0CF9" w:rsidP="00EE4C8C">
            <w:pPr>
              <w:suppressAutoHyphens/>
              <w:spacing w:before="0" w:line="240" w:lineRule="auto"/>
              <w:jc w:val="center"/>
              <w:rPr>
                <w:rFonts w:asciiTheme="minorHAnsi" w:hAnsiTheme="minorHAnsi"/>
                <w:szCs w:val="22"/>
              </w:rPr>
            </w:pPr>
            <w:r w:rsidRPr="00D52C48">
              <w:rPr>
                <w:rFonts w:asciiTheme="minorHAnsi" w:hAnsiTheme="minorHAnsi"/>
                <w:szCs w:val="22"/>
              </w:rPr>
              <w:t>SZOOP RPO  WD 2014-2020</w:t>
            </w:r>
          </w:p>
        </w:tc>
      </w:tr>
      <w:tr w:rsidR="00346FD6" w:rsidRPr="00D52C48" w14:paraId="21F7D801" w14:textId="77777777" w:rsidTr="007B5608">
        <w:trPr>
          <w:trHeight w:val="20"/>
          <w:jc w:val="center"/>
        </w:trPr>
        <w:tc>
          <w:tcPr>
            <w:tcW w:w="1163" w:type="pct"/>
            <w:shd w:val="clear" w:color="auto" w:fill="auto"/>
          </w:tcPr>
          <w:p w14:paraId="7223EB4F" w14:textId="77777777" w:rsidR="00346FD6" w:rsidRPr="00D52C48" w:rsidRDefault="00346FD6" w:rsidP="00EE4C8C">
            <w:pPr>
              <w:spacing w:before="0" w:line="240" w:lineRule="auto"/>
              <w:rPr>
                <w:rFonts w:asciiTheme="minorHAnsi" w:hAnsiTheme="minorHAnsi"/>
                <w:szCs w:val="22"/>
              </w:rPr>
            </w:pPr>
            <w:r w:rsidRPr="00D52C48">
              <w:rPr>
                <w:rFonts w:asciiTheme="minorHAnsi" w:hAnsiTheme="minorHAnsi"/>
                <w:szCs w:val="22"/>
              </w:rPr>
              <w:t xml:space="preserve">Liczba obiektów dostosowanych do potrzeb osób z </w:t>
            </w:r>
            <w:r w:rsidRPr="00D52C48">
              <w:rPr>
                <w:rFonts w:asciiTheme="minorHAnsi" w:hAnsiTheme="minorHAnsi"/>
                <w:szCs w:val="22"/>
              </w:rPr>
              <w:lastRenderedPageBreak/>
              <w:t>niepełnosprawnościami</w:t>
            </w:r>
          </w:p>
        </w:tc>
        <w:tc>
          <w:tcPr>
            <w:tcW w:w="526" w:type="pct"/>
          </w:tcPr>
          <w:p w14:paraId="6707177B" w14:textId="77777777" w:rsidR="00346FD6" w:rsidRPr="00D52C48" w:rsidRDefault="00346FD6" w:rsidP="00934566">
            <w:pPr>
              <w:spacing w:before="0" w:line="240" w:lineRule="auto"/>
              <w:jc w:val="center"/>
              <w:rPr>
                <w:rFonts w:asciiTheme="minorHAnsi" w:hAnsiTheme="minorHAnsi" w:cs="ArialNarrow"/>
                <w:szCs w:val="22"/>
              </w:rPr>
            </w:pPr>
            <w:r w:rsidRPr="00D52C48">
              <w:rPr>
                <w:rFonts w:asciiTheme="minorHAnsi" w:hAnsiTheme="minorHAnsi"/>
                <w:szCs w:val="22"/>
              </w:rPr>
              <w:lastRenderedPageBreak/>
              <w:t>[szt.]</w:t>
            </w:r>
          </w:p>
        </w:tc>
        <w:tc>
          <w:tcPr>
            <w:tcW w:w="2435" w:type="pct"/>
            <w:shd w:val="clear" w:color="auto" w:fill="auto"/>
          </w:tcPr>
          <w:p w14:paraId="161CA52D" w14:textId="77777777"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Wskaźnik odnosi się do liczby obiektów, które zaopatrzono w specjalne podjazdy, windy, urządzenia głośnomówiące, bądź inne </w:t>
            </w:r>
            <w:r w:rsidRPr="00D52C48">
              <w:rPr>
                <w:rFonts w:asciiTheme="minorHAnsi" w:hAnsiTheme="minorHAnsi"/>
                <w:sz w:val="22"/>
                <w:szCs w:val="22"/>
              </w:rPr>
              <w:lastRenderedPageBreak/>
              <w:t xml:space="preserve">udogodnienia (tj. usunięcie barier w dostępie, w szczególności barier architektonicznych) ułatwiające dostęp do tych obiektów osobom niepełnosprawnym ruchowo czy sensorycznie. </w:t>
            </w:r>
          </w:p>
          <w:p w14:paraId="63F95A81" w14:textId="77777777"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Jako obiekty budowlane należy rozumieć konstrukcje połączone z gruntem w sposób </w:t>
            </w:r>
          </w:p>
          <w:p w14:paraId="7011F8AD" w14:textId="77777777"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trwały, wykonane z materiałów budowlanych i elementów składowych, będące </w:t>
            </w:r>
          </w:p>
          <w:p w14:paraId="7C7E01AD" w14:textId="77777777"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wynikiem prac budowlanych (wg. def. PKOB). </w:t>
            </w:r>
          </w:p>
          <w:p w14:paraId="09133B5E" w14:textId="77777777"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Należy podać liczbę obiektów, a nie sprzętów, urządzeń itp., w które obiekty zaopatrzono. </w:t>
            </w:r>
          </w:p>
          <w:p w14:paraId="41D93FD1" w14:textId="77777777"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Jeśli instytucja, zakład itp. składa się z kilku obiektów, należy zliczyć wszystkie, które dostosowano do potrzeb osób niepełnosprawnych. </w:t>
            </w:r>
          </w:p>
        </w:tc>
        <w:tc>
          <w:tcPr>
            <w:tcW w:w="876" w:type="pct"/>
          </w:tcPr>
          <w:p w14:paraId="46721762" w14:textId="77777777" w:rsidR="00346FD6" w:rsidRPr="00D52C48" w:rsidRDefault="00346FD6" w:rsidP="003F1889">
            <w:pPr>
              <w:autoSpaceDE w:val="0"/>
              <w:autoSpaceDN w:val="0"/>
              <w:adjustRightInd w:val="0"/>
              <w:spacing w:before="0" w:line="240" w:lineRule="auto"/>
              <w:jc w:val="center"/>
              <w:rPr>
                <w:rFonts w:asciiTheme="minorHAnsi" w:hAnsiTheme="minorHAnsi"/>
                <w:szCs w:val="22"/>
              </w:rPr>
            </w:pPr>
            <w:r w:rsidRPr="00D52C48">
              <w:rPr>
                <w:rFonts w:asciiTheme="minorHAnsi" w:hAnsiTheme="minorHAnsi"/>
                <w:szCs w:val="22"/>
              </w:rPr>
              <w:lastRenderedPageBreak/>
              <w:t>Horyzontalny</w:t>
            </w:r>
          </w:p>
        </w:tc>
      </w:tr>
      <w:tr w:rsidR="00FA0CF9" w:rsidRPr="00D52C48" w14:paraId="6F8DF74B" w14:textId="77777777" w:rsidTr="007B5608">
        <w:trPr>
          <w:trHeight w:val="20"/>
          <w:jc w:val="center"/>
        </w:trPr>
        <w:tc>
          <w:tcPr>
            <w:tcW w:w="1163" w:type="pct"/>
            <w:shd w:val="clear" w:color="auto" w:fill="auto"/>
          </w:tcPr>
          <w:p w14:paraId="05137EFB" w14:textId="6023AE63" w:rsidR="00FA0CF9" w:rsidRPr="00D52C48" w:rsidRDefault="00FA0CF9" w:rsidP="00EE4C8C">
            <w:pPr>
              <w:spacing w:before="0" w:line="240" w:lineRule="auto"/>
              <w:rPr>
                <w:rFonts w:asciiTheme="minorHAnsi" w:hAnsiTheme="minorHAnsi"/>
                <w:szCs w:val="22"/>
              </w:rPr>
            </w:pPr>
            <w:r w:rsidRPr="00D52C48">
              <w:rPr>
                <w:rFonts w:asciiTheme="minorHAnsi" w:hAnsiTheme="minorHAnsi"/>
                <w:szCs w:val="22"/>
              </w:rPr>
              <w:t>Liczba projektów, w których sfinansowano koszty racjonalnych usprawnień dla osób z niepełnosprawnościami</w:t>
            </w:r>
          </w:p>
        </w:tc>
        <w:tc>
          <w:tcPr>
            <w:tcW w:w="526" w:type="pct"/>
          </w:tcPr>
          <w:p w14:paraId="57FB0BB8" w14:textId="3EA3E531" w:rsidR="00FA0CF9" w:rsidRPr="00D52C48" w:rsidRDefault="00FA0CF9" w:rsidP="00934566">
            <w:pPr>
              <w:spacing w:before="0" w:line="240" w:lineRule="auto"/>
              <w:jc w:val="center"/>
              <w:rPr>
                <w:rFonts w:asciiTheme="minorHAnsi" w:hAnsiTheme="minorHAnsi"/>
                <w:szCs w:val="22"/>
              </w:rPr>
            </w:pPr>
            <w:r w:rsidRPr="00D52C48">
              <w:rPr>
                <w:rFonts w:asciiTheme="minorHAnsi" w:hAnsiTheme="minorHAnsi"/>
                <w:szCs w:val="22"/>
              </w:rPr>
              <w:t>[szt.]</w:t>
            </w:r>
          </w:p>
        </w:tc>
        <w:tc>
          <w:tcPr>
            <w:tcW w:w="2435" w:type="pct"/>
            <w:shd w:val="clear" w:color="auto" w:fill="auto"/>
          </w:tcPr>
          <w:p w14:paraId="47B91144" w14:textId="77777777" w:rsidR="0006794A" w:rsidRPr="00D52C48" w:rsidRDefault="0006794A" w:rsidP="0006794A">
            <w:pPr>
              <w:autoSpaceDE w:val="0"/>
              <w:autoSpaceDN w:val="0"/>
              <w:adjustRightInd w:val="0"/>
              <w:spacing w:before="0" w:line="240" w:lineRule="auto"/>
              <w:jc w:val="both"/>
              <w:rPr>
                <w:rFonts w:asciiTheme="minorHAnsi" w:hAnsiTheme="minorHAnsi" w:cs="TimesNewRoman,Bold"/>
                <w:szCs w:val="22"/>
              </w:rPr>
            </w:pPr>
            <w:r w:rsidRPr="00D52C48">
              <w:rPr>
                <w:rFonts w:asciiTheme="minorHAnsi" w:eastAsiaTheme="minorHAnsi" w:hAnsiTheme="minorHAnsi" w:cs="Arial"/>
                <w:color w:val="000000"/>
                <w:szCs w:val="22"/>
                <w:lang w:eastAsia="en-US"/>
              </w:rPr>
              <w:t>R</w:t>
            </w:r>
            <w:r w:rsidRPr="00D52C48">
              <w:rPr>
                <w:rFonts w:asciiTheme="minorHAnsi" w:hAnsiTheme="minorHAnsi" w:cs="TimesNewRoman,Bold"/>
                <w:szCs w:val="22"/>
              </w:rPr>
              <w:t xml:space="preserve">acjonalne usprawnienie oznacza konieczne i odpowiednie zmiany oraz dostosowania, nie nakładające nieproporcjonalnego lub nadmiernego obciążenia, jeśli jest potrzebne w konkretnym przypadku, w celu zapewnienia osobom z niepełnosprawnościami możliwości korzystania z wszelkich praw człowieka i podstawowych wolności oraz ich wykonywania na zasadzie równości z innymi osobami (zgodnie z art. 2 Konwencji o prawach osób niepełnosprawnych). Wskaźnik mierzony w momencie rozliczenia wydatku związanego z racjonalnymi usprawnieniami. </w:t>
            </w:r>
          </w:p>
          <w:p w14:paraId="21D842B5" w14:textId="77777777" w:rsidR="0006794A" w:rsidRPr="00D52C48" w:rsidRDefault="0006794A" w:rsidP="0006794A">
            <w:pPr>
              <w:autoSpaceDE w:val="0"/>
              <w:autoSpaceDN w:val="0"/>
              <w:adjustRightInd w:val="0"/>
              <w:spacing w:before="0" w:line="240" w:lineRule="auto"/>
              <w:jc w:val="both"/>
              <w:rPr>
                <w:rFonts w:asciiTheme="minorHAnsi" w:hAnsiTheme="minorHAnsi" w:cs="TimesNewRoman,Bold"/>
                <w:szCs w:val="22"/>
              </w:rPr>
            </w:pPr>
            <w:r w:rsidRPr="00D52C48">
              <w:rPr>
                <w:rFonts w:asciiTheme="minorHAnsi" w:hAnsiTheme="minorHAnsi" w:cs="TimesNewRoman,Bold"/>
                <w:szCs w:val="22"/>
              </w:rPr>
              <w:t xml:space="preserve">Przykłady racjonalnych usprawnień: tłumacz języka migowego, transport niskopodłogowy, dostosowanie infrastruktury (nie tylko budynku, ale też sprzętu np. komputer, czytnik dla osób niewidzących), osoby asystujące, odpowiednie dostosowanie wyżywienia. </w:t>
            </w:r>
          </w:p>
          <w:p w14:paraId="0083EDE7" w14:textId="77777777" w:rsidR="0006794A" w:rsidRPr="00D52C48" w:rsidRDefault="0006794A" w:rsidP="0006794A">
            <w:pPr>
              <w:spacing w:before="0" w:line="240" w:lineRule="auto"/>
              <w:jc w:val="both"/>
              <w:rPr>
                <w:rFonts w:asciiTheme="minorHAnsi" w:hAnsiTheme="minorHAnsi" w:cs="TimesNewRoman,Bold"/>
                <w:szCs w:val="22"/>
              </w:rPr>
            </w:pPr>
            <w:r w:rsidRPr="00D52C48">
              <w:rPr>
                <w:rFonts w:asciiTheme="minorHAnsi" w:hAnsiTheme="minorHAnsi" w:cs="TimesNewRoman,Bold"/>
                <w:szCs w:val="22"/>
              </w:rPr>
              <w:t>Wybór wskaźnika dot. finansowania racjonalnych usprawnień powoduje konieczność wskazania również wskaźnika: liczba obiektów dostosowanych do osób z nieprawidłowościami.</w:t>
            </w:r>
          </w:p>
          <w:p w14:paraId="604A69B8" w14:textId="77777777" w:rsidR="0006794A" w:rsidRPr="00D52C48" w:rsidRDefault="0006794A" w:rsidP="0006794A">
            <w:pPr>
              <w:spacing w:before="0" w:line="240" w:lineRule="auto"/>
              <w:jc w:val="both"/>
              <w:rPr>
                <w:rFonts w:asciiTheme="minorHAnsi" w:hAnsiTheme="minorHAnsi" w:cs="TimesNewRoman,Bold"/>
                <w:szCs w:val="22"/>
              </w:rPr>
            </w:pPr>
          </w:p>
          <w:p w14:paraId="54FD75F2" w14:textId="0B0C3561" w:rsidR="00FA0CF9" w:rsidRPr="00D52C48" w:rsidRDefault="0006794A" w:rsidP="0006794A">
            <w:pPr>
              <w:spacing w:before="0" w:line="240" w:lineRule="auto"/>
              <w:jc w:val="both"/>
              <w:rPr>
                <w:rFonts w:asciiTheme="minorHAnsi" w:hAnsiTheme="minorHAnsi" w:cs="TimesNewRoman,Bold"/>
                <w:szCs w:val="22"/>
              </w:rPr>
            </w:pPr>
            <w:r w:rsidRPr="00D52C48">
              <w:rPr>
                <w:rFonts w:asciiTheme="minorHAnsi" w:hAnsiTheme="minorHAnsi" w:cs="TimesNewRoman,Bold"/>
                <w:szCs w:val="22"/>
              </w:rPr>
              <w:t>Definicja na podstawie: Agenda działań na rzecz równości szans i niedyskryminacji osób z nieprawidłowościami w ramach funduszy unijnych 2014-2020.</w:t>
            </w:r>
          </w:p>
        </w:tc>
        <w:tc>
          <w:tcPr>
            <w:tcW w:w="876" w:type="pct"/>
          </w:tcPr>
          <w:p w14:paraId="1AA2B888" w14:textId="308A15C0" w:rsidR="00FA0CF9" w:rsidRPr="00D52C48" w:rsidRDefault="00FA0CF9" w:rsidP="003F1889">
            <w:pPr>
              <w:autoSpaceDE w:val="0"/>
              <w:autoSpaceDN w:val="0"/>
              <w:adjustRightInd w:val="0"/>
              <w:spacing w:before="0" w:line="240" w:lineRule="auto"/>
              <w:jc w:val="center"/>
              <w:rPr>
                <w:rFonts w:asciiTheme="minorHAnsi" w:hAnsiTheme="minorHAnsi"/>
                <w:szCs w:val="22"/>
              </w:rPr>
            </w:pPr>
            <w:r w:rsidRPr="00D52C48">
              <w:rPr>
                <w:rFonts w:asciiTheme="minorHAnsi" w:hAnsiTheme="minorHAnsi"/>
                <w:szCs w:val="22"/>
              </w:rPr>
              <w:t>Horyzontalny</w:t>
            </w:r>
          </w:p>
        </w:tc>
      </w:tr>
      <w:tr w:rsidR="00FA0CF9" w:rsidRPr="00D52C48" w14:paraId="58793DF7" w14:textId="77777777" w:rsidTr="007B5608">
        <w:trPr>
          <w:trHeight w:val="20"/>
          <w:jc w:val="center"/>
        </w:trPr>
        <w:tc>
          <w:tcPr>
            <w:tcW w:w="1163" w:type="pct"/>
            <w:shd w:val="clear" w:color="auto" w:fill="auto"/>
          </w:tcPr>
          <w:p w14:paraId="5C680BEF" w14:textId="0C6F3281" w:rsidR="00FA0CF9" w:rsidRPr="00D52C48" w:rsidRDefault="00FA0CF9" w:rsidP="00EE4C8C">
            <w:pPr>
              <w:spacing w:before="0" w:line="240" w:lineRule="auto"/>
              <w:rPr>
                <w:rFonts w:asciiTheme="minorHAnsi" w:hAnsiTheme="minorHAnsi"/>
                <w:szCs w:val="22"/>
              </w:rPr>
            </w:pPr>
            <w:r w:rsidRPr="00D52C48">
              <w:rPr>
                <w:rFonts w:asciiTheme="minorHAnsi" w:hAnsiTheme="minorHAnsi"/>
                <w:szCs w:val="22"/>
              </w:rPr>
              <w:t>Liczba podmiotów wykorzystujących technologie informacyjno- komunikacyjne</w:t>
            </w:r>
          </w:p>
        </w:tc>
        <w:tc>
          <w:tcPr>
            <w:tcW w:w="526" w:type="pct"/>
          </w:tcPr>
          <w:p w14:paraId="1E9EB056" w14:textId="654AFD1F" w:rsidR="00FA0CF9" w:rsidRPr="00D52C48" w:rsidRDefault="00FA0CF9" w:rsidP="00934566">
            <w:pPr>
              <w:spacing w:before="0" w:line="240" w:lineRule="auto"/>
              <w:jc w:val="center"/>
              <w:rPr>
                <w:rFonts w:asciiTheme="minorHAnsi" w:hAnsiTheme="minorHAnsi"/>
                <w:szCs w:val="22"/>
              </w:rPr>
            </w:pPr>
            <w:r w:rsidRPr="00D52C48">
              <w:rPr>
                <w:rFonts w:asciiTheme="minorHAnsi" w:hAnsiTheme="minorHAnsi"/>
                <w:szCs w:val="22"/>
              </w:rPr>
              <w:t>[szt.]</w:t>
            </w:r>
          </w:p>
        </w:tc>
        <w:tc>
          <w:tcPr>
            <w:tcW w:w="2435" w:type="pct"/>
            <w:shd w:val="clear" w:color="auto" w:fill="auto"/>
          </w:tcPr>
          <w:p w14:paraId="48DF84EB" w14:textId="3A8580E1" w:rsidR="00FA0CF9" w:rsidRPr="00D52C48" w:rsidRDefault="00FA0CF9" w:rsidP="00FA0CF9">
            <w:pPr>
              <w:pStyle w:val="Default"/>
              <w:jc w:val="both"/>
              <w:rPr>
                <w:rFonts w:asciiTheme="minorHAnsi" w:hAnsiTheme="minorHAnsi"/>
                <w:sz w:val="22"/>
                <w:szCs w:val="22"/>
              </w:rPr>
            </w:pPr>
            <w:r w:rsidRPr="00D52C48">
              <w:rPr>
                <w:rFonts w:asciiTheme="minorHAnsi" w:hAnsiTheme="minorHAnsi"/>
                <w:sz w:val="22"/>
                <w:szCs w:val="22"/>
              </w:rPr>
              <w:t xml:space="preserve">Wskaźnik mierzy liczbę podmiotów, które w celu realizacji projektu zainwestowały w technologie informacyjno-komunikacyjne, Przez technologie informacyjno-komunikacyjne (ang. ICT – Information and Communications Technology) należy rozumieć technologie pozyskiwania produkcji, gromadzenia, przechowywania, przesyłania, przetwarzania i rozpowszechniania </w:t>
            </w:r>
            <w:r w:rsidRPr="00D52C48">
              <w:rPr>
                <w:rFonts w:asciiTheme="minorHAnsi" w:hAnsiTheme="minorHAnsi"/>
                <w:sz w:val="22"/>
                <w:szCs w:val="22"/>
              </w:rPr>
              <w:lastRenderedPageBreak/>
              <w:t>informacji w formie elektronicznej oraz wszelkie działania zawiązane z produkcją i wykorzystaniem urządzeń telekomunikacyjnych i informatycznych oraz usług im towarzyszących działania edukacyjne i szkoleniowe.</w:t>
            </w:r>
          </w:p>
        </w:tc>
        <w:tc>
          <w:tcPr>
            <w:tcW w:w="876" w:type="pct"/>
          </w:tcPr>
          <w:p w14:paraId="41FB159F" w14:textId="7FCC45A5" w:rsidR="00FA0CF9" w:rsidRPr="00D52C48" w:rsidRDefault="00FA0CF9" w:rsidP="003F1889">
            <w:pPr>
              <w:autoSpaceDE w:val="0"/>
              <w:autoSpaceDN w:val="0"/>
              <w:adjustRightInd w:val="0"/>
              <w:spacing w:before="0" w:line="240" w:lineRule="auto"/>
              <w:jc w:val="center"/>
              <w:rPr>
                <w:rFonts w:asciiTheme="minorHAnsi" w:hAnsiTheme="minorHAnsi"/>
                <w:szCs w:val="22"/>
              </w:rPr>
            </w:pPr>
            <w:r w:rsidRPr="00D52C48">
              <w:rPr>
                <w:rFonts w:asciiTheme="minorHAnsi" w:hAnsiTheme="minorHAnsi"/>
                <w:szCs w:val="22"/>
              </w:rPr>
              <w:lastRenderedPageBreak/>
              <w:t>Horyzontalny</w:t>
            </w:r>
          </w:p>
        </w:tc>
      </w:tr>
      <w:tr w:rsidR="00346FD6" w:rsidRPr="00D52C48" w14:paraId="51E48DA4" w14:textId="77777777" w:rsidTr="007B5608">
        <w:trPr>
          <w:trHeight w:val="20"/>
          <w:jc w:val="center"/>
        </w:trPr>
        <w:tc>
          <w:tcPr>
            <w:tcW w:w="1163" w:type="pct"/>
            <w:shd w:val="clear" w:color="auto" w:fill="auto"/>
          </w:tcPr>
          <w:p w14:paraId="3C266A31" w14:textId="77777777" w:rsidR="00346FD6" w:rsidRPr="00D52C48" w:rsidRDefault="00346FD6" w:rsidP="00EE4C8C">
            <w:pPr>
              <w:spacing w:before="0" w:line="240" w:lineRule="auto"/>
              <w:rPr>
                <w:rFonts w:asciiTheme="minorHAnsi" w:hAnsiTheme="minorHAnsi"/>
                <w:szCs w:val="22"/>
              </w:rPr>
            </w:pPr>
            <w:r w:rsidRPr="00D52C48">
              <w:rPr>
                <w:rFonts w:asciiTheme="minorHAnsi" w:hAnsiTheme="minorHAnsi"/>
                <w:szCs w:val="22"/>
              </w:rPr>
              <w:t>Liczba osób objętych szkoleniami/doradztwem w zakresie kompetencji cyfrowych [O/K/M]</w:t>
            </w:r>
          </w:p>
        </w:tc>
        <w:tc>
          <w:tcPr>
            <w:tcW w:w="526" w:type="pct"/>
          </w:tcPr>
          <w:p w14:paraId="28C4ACC0" w14:textId="77777777" w:rsidR="00346FD6" w:rsidRPr="00D52C48" w:rsidRDefault="00346FD6" w:rsidP="00934566">
            <w:pPr>
              <w:spacing w:before="0" w:line="240" w:lineRule="auto"/>
              <w:jc w:val="center"/>
              <w:rPr>
                <w:rFonts w:asciiTheme="minorHAnsi" w:hAnsiTheme="minorHAnsi" w:cs="ArialNarrow"/>
                <w:szCs w:val="22"/>
              </w:rPr>
            </w:pPr>
            <w:r w:rsidRPr="00D52C48">
              <w:rPr>
                <w:rFonts w:asciiTheme="minorHAnsi" w:hAnsiTheme="minorHAnsi"/>
                <w:szCs w:val="22"/>
              </w:rPr>
              <w:t>[osoby]</w:t>
            </w:r>
          </w:p>
        </w:tc>
        <w:tc>
          <w:tcPr>
            <w:tcW w:w="2435" w:type="pct"/>
            <w:shd w:val="clear" w:color="auto" w:fill="auto"/>
          </w:tcPr>
          <w:p w14:paraId="2AF39EB3" w14:textId="68243E15"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Wskaźnik mierzy liczbę osób objętych szkoleniami / doradztwem w zakresie nabywania / doskonalenia umiejętności warunkujących efektywne korzystanie z mediów elektronicznych tj. m.in. korzystania z komputera, różnych rodzajów oprogramowania, Internetu oraz kompetencji ściśle informatycznych (np. programowanie, zarządzanie bazami danych, administracja sieciami, administracja witrynami internetowymi). </w:t>
            </w:r>
          </w:p>
        </w:tc>
        <w:tc>
          <w:tcPr>
            <w:tcW w:w="876" w:type="pct"/>
          </w:tcPr>
          <w:p w14:paraId="5F1C0B26" w14:textId="77777777" w:rsidR="00346FD6" w:rsidRPr="00D52C48" w:rsidRDefault="00346FD6" w:rsidP="003F1889">
            <w:pPr>
              <w:autoSpaceDE w:val="0"/>
              <w:autoSpaceDN w:val="0"/>
              <w:adjustRightInd w:val="0"/>
              <w:spacing w:before="0" w:line="240" w:lineRule="auto"/>
              <w:jc w:val="center"/>
              <w:rPr>
                <w:rFonts w:asciiTheme="minorHAnsi" w:hAnsiTheme="minorHAnsi"/>
                <w:szCs w:val="22"/>
              </w:rPr>
            </w:pPr>
            <w:r w:rsidRPr="00D52C48">
              <w:rPr>
                <w:rFonts w:asciiTheme="minorHAnsi" w:hAnsiTheme="minorHAnsi"/>
                <w:szCs w:val="22"/>
              </w:rPr>
              <w:t>Horyzontalny</w:t>
            </w:r>
          </w:p>
        </w:tc>
      </w:tr>
    </w:tbl>
    <w:p w14:paraId="6C97564C" w14:textId="77777777" w:rsidR="00DF6D97" w:rsidRPr="00D52C48" w:rsidRDefault="00DF6D97" w:rsidP="007650AC">
      <w:pPr>
        <w:autoSpaceDE w:val="0"/>
        <w:autoSpaceDN w:val="0"/>
        <w:adjustRightInd w:val="0"/>
        <w:spacing w:before="0" w:line="240" w:lineRule="auto"/>
        <w:jc w:val="both"/>
        <w:rPr>
          <w:rFonts w:asciiTheme="minorHAnsi" w:hAnsiTheme="minorHAnsi"/>
        </w:rPr>
      </w:pPr>
    </w:p>
    <w:p w14:paraId="6FF776B3" w14:textId="77777777" w:rsidR="00781388" w:rsidRPr="00D52C48" w:rsidRDefault="00781388" w:rsidP="007650AC">
      <w:pPr>
        <w:autoSpaceDE w:val="0"/>
        <w:autoSpaceDN w:val="0"/>
        <w:adjustRightInd w:val="0"/>
        <w:spacing w:before="0" w:line="240" w:lineRule="auto"/>
        <w:jc w:val="both"/>
        <w:rPr>
          <w:rFonts w:asciiTheme="minorHAnsi" w:hAnsiTheme="minorHAnsi"/>
        </w:rPr>
      </w:pPr>
    </w:p>
    <w:p w14:paraId="04D69A2C" w14:textId="77777777" w:rsidR="00DF6D97" w:rsidRPr="00D52C48" w:rsidRDefault="00DF6D97" w:rsidP="00781388">
      <w:pPr>
        <w:spacing w:before="0" w:after="200" w:line="276" w:lineRule="auto"/>
        <w:jc w:val="both"/>
        <w:rPr>
          <w:rFonts w:asciiTheme="minorHAnsi" w:hAnsiTheme="minorHAnsi" w:cs="Arial"/>
          <w:szCs w:val="22"/>
        </w:rPr>
      </w:pPr>
      <w:r w:rsidRPr="00D52C48">
        <w:rPr>
          <w:rFonts w:asciiTheme="minorHAnsi" w:hAnsiTheme="minorHAnsi"/>
          <w:b/>
          <w:szCs w:val="22"/>
        </w:rPr>
        <w:t>Wskaźniki rezultatu bezpośredniego</w:t>
      </w:r>
      <w:r w:rsidRPr="00D52C48">
        <w:rPr>
          <w:rFonts w:asciiTheme="minorHAnsi" w:hAnsiTheme="minorHAnsi"/>
          <w:szCs w:val="22"/>
        </w:rPr>
        <w:t xml:space="preserve"> są to w</w:t>
      </w:r>
      <w:r w:rsidRPr="00D52C48">
        <w:rPr>
          <w:rFonts w:asciiTheme="minorHAnsi" w:hAnsiTheme="minorHAnsi" w:cs="Arial"/>
          <w:szCs w:val="22"/>
        </w:rPr>
        <w:t>skaźniki odnoszące się do bezpośrednich efektów projektu, stanowią wynik realizacji projektu, ale mogą mieć na niego wpływ także inne zewnętrzne czynniki; niepowiązane bezpośrednio z wydatkami ponoszonymi w projekcie. Dostarczają informacji o zmianach jakie nastąpiły w wyniku realizacji projektu, w porównaniu z wielkością wyjściową (bazową). Są logicznie powiązane ze wskaźnikami produktu.  Muszą być adekwatne do celu projektu.</w:t>
      </w:r>
    </w:p>
    <w:p w14:paraId="37E54780" w14:textId="77777777" w:rsidR="00DF6D97" w:rsidRPr="00D52C48" w:rsidRDefault="00DF6D97" w:rsidP="00781388">
      <w:pPr>
        <w:pStyle w:val="Default"/>
        <w:jc w:val="both"/>
        <w:rPr>
          <w:rFonts w:asciiTheme="minorHAnsi" w:hAnsiTheme="minorHAnsi"/>
          <w:sz w:val="22"/>
          <w:szCs w:val="22"/>
        </w:rPr>
      </w:pPr>
    </w:p>
    <w:p w14:paraId="71F4D835" w14:textId="77777777" w:rsidR="00DF6D97" w:rsidRPr="00D52C48" w:rsidRDefault="00DF6D97" w:rsidP="00781388">
      <w:pPr>
        <w:pStyle w:val="Default"/>
        <w:jc w:val="both"/>
        <w:rPr>
          <w:rFonts w:asciiTheme="minorHAnsi" w:hAnsiTheme="minorHAnsi"/>
          <w:sz w:val="22"/>
          <w:szCs w:val="22"/>
        </w:rPr>
      </w:pPr>
      <w:r w:rsidRPr="00D52C48">
        <w:rPr>
          <w:rFonts w:asciiTheme="minorHAnsi" w:hAnsiTheme="minorHAnsi"/>
          <w:sz w:val="22"/>
          <w:szCs w:val="22"/>
        </w:rPr>
        <w:t xml:space="preserve">Dla każdego z wybranych wskaźników Wnioskodawca zobowiązany jest do wskazania </w:t>
      </w:r>
      <w:r w:rsidRPr="00D52C48">
        <w:rPr>
          <w:rFonts w:asciiTheme="minorHAnsi" w:hAnsiTheme="minorHAnsi"/>
          <w:i/>
          <w:sz w:val="22"/>
          <w:szCs w:val="22"/>
        </w:rPr>
        <w:t>„Jednostki miary”</w:t>
      </w:r>
      <w:r w:rsidRPr="00D52C48">
        <w:rPr>
          <w:rFonts w:asciiTheme="minorHAnsi" w:hAnsiTheme="minorHAnsi"/>
          <w:sz w:val="22"/>
          <w:szCs w:val="22"/>
        </w:rPr>
        <w:t xml:space="preserve">, </w:t>
      </w:r>
      <w:r w:rsidRPr="00D52C48">
        <w:rPr>
          <w:rFonts w:asciiTheme="minorHAnsi" w:hAnsiTheme="minorHAnsi"/>
          <w:i/>
          <w:sz w:val="22"/>
          <w:szCs w:val="22"/>
        </w:rPr>
        <w:t>„Wartości bazowej”</w:t>
      </w:r>
      <w:r w:rsidRPr="00D52C48">
        <w:rPr>
          <w:rFonts w:asciiTheme="minorHAnsi" w:hAnsiTheme="minorHAnsi"/>
          <w:sz w:val="22"/>
          <w:szCs w:val="22"/>
        </w:rPr>
        <w:t xml:space="preserve">, </w:t>
      </w:r>
      <w:r w:rsidRPr="00D52C48">
        <w:rPr>
          <w:rFonts w:asciiTheme="minorHAnsi" w:hAnsiTheme="minorHAnsi"/>
          <w:i/>
          <w:sz w:val="22"/>
          <w:szCs w:val="22"/>
        </w:rPr>
        <w:t>„Wartości docelowej wskaźnika”</w:t>
      </w:r>
      <w:r w:rsidRPr="00D52C48">
        <w:rPr>
          <w:rFonts w:asciiTheme="minorHAnsi" w:hAnsiTheme="minorHAnsi"/>
          <w:sz w:val="22"/>
          <w:szCs w:val="22"/>
        </w:rPr>
        <w:t xml:space="preserve">, a także </w:t>
      </w:r>
      <w:r w:rsidRPr="00D52C48">
        <w:rPr>
          <w:rFonts w:asciiTheme="minorHAnsi" w:hAnsiTheme="minorHAnsi"/>
          <w:i/>
          <w:sz w:val="22"/>
          <w:szCs w:val="22"/>
        </w:rPr>
        <w:t>„Źródła informacji o wskaźniku”</w:t>
      </w:r>
      <w:r w:rsidRPr="00D52C48">
        <w:rPr>
          <w:rFonts w:asciiTheme="minorHAnsi" w:hAnsiTheme="minorHAnsi"/>
          <w:sz w:val="22"/>
          <w:szCs w:val="22"/>
        </w:rPr>
        <w:t xml:space="preserve">. </w:t>
      </w:r>
    </w:p>
    <w:p w14:paraId="591759DF" w14:textId="77777777" w:rsidR="00DF6D97" w:rsidRPr="00D52C48" w:rsidRDefault="00DF6D97" w:rsidP="00781388">
      <w:pPr>
        <w:pStyle w:val="Default"/>
        <w:jc w:val="both"/>
        <w:rPr>
          <w:rFonts w:asciiTheme="minorHAnsi" w:hAnsiTheme="minorHAnsi"/>
          <w:sz w:val="22"/>
          <w:szCs w:val="22"/>
        </w:rPr>
      </w:pPr>
      <w:r w:rsidRPr="00D52C48">
        <w:rPr>
          <w:rFonts w:asciiTheme="minorHAnsi" w:hAnsiTheme="minorHAnsi"/>
          <w:sz w:val="22"/>
          <w:szCs w:val="22"/>
        </w:rPr>
        <w:t xml:space="preserve">Wartość docelowa dla wskaźnika rezultatu to wyrażony liczbowo stan danego wskaźnika uzyskany w efekcie realizacji projektu </w:t>
      </w:r>
    </w:p>
    <w:p w14:paraId="6FDF9A26" w14:textId="77777777" w:rsidR="00DF6D97" w:rsidRPr="00D52C48" w:rsidRDefault="00DF6D97" w:rsidP="00781388">
      <w:pPr>
        <w:autoSpaceDE w:val="0"/>
        <w:autoSpaceDN w:val="0"/>
        <w:adjustRightInd w:val="0"/>
        <w:spacing w:before="0" w:line="240" w:lineRule="auto"/>
        <w:jc w:val="both"/>
        <w:rPr>
          <w:rFonts w:asciiTheme="minorHAnsi" w:hAnsiTheme="minorHAnsi"/>
          <w:szCs w:val="22"/>
        </w:rPr>
      </w:pPr>
      <w:r w:rsidRPr="00D52C48">
        <w:rPr>
          <w:rFonts w:asciiTheme="minorHAnsi" w:hAnsiTheme="minorHAnsi"/>
          <w:szCs w:val="22"/>
        </w:rPr>
        <w:t xml:space="preserve">Jako źródło informacji o wskaźniku wskazać należy odpowiedni dokument (np. ewidencja </w:t>
      </w:r>
      <w:r w:rsidR="00E93BEA" w:rsidRPr="00D52C48">
        <w:rPr>
          <w:rFonts w:asciiTheme="minorHAnsi" w:hAnsiTheme="minorHAnsi"/>
          <w:szCs w:val="22"/>
        </w:rPr>
        <w:t xml:space="preserve">ludności, dokumentacja techniczna </w:t>
      </w:r>
      <w:r w:rsidRPr="00D52C48">
        <w:rPr>
          <w:rFonts w:asciiTheme="minorHAnsi" w:hAnsiTheme="minorHAnsi"/>
          <w:szCs w:val="22"/>
        </w:rPr>
        <w:t>).</w:t>
      </w:r>
    </w:p>
    <w:p w14:paraId="5459EDA2" w14:textId="77777777" w:rsidR="00FA0CF9" w:rsidRPr="00D52C48" w:rsidRDefault="00FA0CF9" w:rsidP="007650AC">
      <w:pPr>
        <w:spacing w:line="240" w:lineRule="auto"/>
        <w:rPr>
          <w:rFonts w:cs="Arial"/>
          <w:szCs w:val="22"/>
        </w:rPr>
      </w:pPr>
    </w:p>
    <w:p w14:paraId="49A28D7C" w14:textId="68B202B7" w:rsidR="008C495E" w:rsidRPr="00D52C48" w:rsidRDefault="003D3BC5" w:rsidP="007650AC">
      <w:pPr>
        <w:autoSpaceDE w:val="0"/>
        <w:autoSpaceDN w:val="0"/>
        <w:adjustRightInd w:val="0"/>
        <w:spacing w:before="120" w:after="120" w:line="240" w:lineRule="auto"/>
        <w:jc w:val="both"/>
        <w:rPr>
          <w:rFonts w:asciiTheme="minorHAnsi" w:hAnsiTheme="minorHAnsi"/>
          <w:szCs w:val="22"/>
        </w:rPr>
      </w:pPr>
      <w:r w:rsidRPr="00D52C48">
        <w:rPr>
          <w:rFonts w:asciiTheme="minorHAnsi" w:hAnsiTheme="minorHAnsi"/>
          <w:szCs w:val="22"/>
        </w:rPr>
        <w:t xml:space="preserve">W ramach Działania </w:t>
      </w:r>
      <w:r w:rsidR="00FA0CF9" w:rsidRPr="00D52C48">
        <w:rPr>
          <w:rFonts w:asciiTheme="minorHAnsi" w:hAnsiTheme="minorHAnsi"/>
          <w:szCs w:val="22"/>
        </w:rPr>
        <w:t>3.3 e</w:t>
      </w:r>
      <w:r w:rsidRPr="00D52C48">
        <w:rPr>
          <w:rFonts w:asciiTheme="minorHAnsi" w:hAnsiTheme="minorHAnsi"/>
          <w:szCs w:val="22"/>
        </w:rPr>
        <w:t xml:space="preserve"> określono poniższe wskaźniki</w:t>
      </w:r>
      <w:r w:rsidRPr="00D52C48">
        <w:rPr>
          <w:rFonts w:asciiTheme="minorHAnsi" w:hAnsiTheme="minorHAnsi"/>
          <w:b/>
          <w:szCs w:val="22"/>
        </w:rPr>
        <w:t xml:space="preserve"> rezultatu bezpośredniego</w:t>
      </w:r>
      <w:r w:rsidRPr="00D52C48">
        <w:rPr>
          <w:rFonts w:asciiTheme="minorHAnsi" w:hAnsiTheme="minorHAnsi"/>
          <w:szCs w:val="22"/>
        </w:rPr>
        <w:t>:</w:t>
      </w:r>
    </w:p>
    <w:tbl>
      <w:tblPr>
        <w:tblW w:w="946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ook w:val="01E0" w:firstRow="1" w:lastRow="1" w:firstColumn="1" w:lastColumn="1" w:noHBand="0" w:noVBand="0"/>
      </w:tblPr>
      <w:tblGrid>
        <w:gridCol w:w="2129"/>
        <w:gridCol w:w="1611"/>
        <w:gridCol w:w="3921"/>
        <w:gridCol w:w="1803"/>
      </w:tblGrid>
      <w:tr w:rsidR="005657D8" w:rsidRPr="00D52C48" w14:paraId="648E3AD2" w14:textId="77777777" w:rsidTr="007B5608">
        <w:trPr>
          <w:trHeight w:val="20"/>
          <w:jc w:val="center"/>
        </w:trPr>
        <w:tc>
          <w:tcPr>
            <w:tcW w:w="0" w:type="auto"/>
            <w:shd w:val="clear" w:color="auto" w:fill="auto"/>
            <w:vAlign w:val="center"/>
          </w:tcPr>
          <w:p w14:paraId="7C1AB0CD" w14:textId="77777777" w:rsidR="005657D8" w:rsidRPr="00D52C48" w:rsidRDefault="005657D8" w:rsidP="00766AC5">
            <w:pPr>
              <w:spacing w:before="0" w:line="240" w:lineRule="auto"/>
              <w:jc w:val="center"/>
              <w:rPr>
                <w:rFonts w:asciiTheme="minorHAnsi" w:hAnsiTheme="minorHAnsi"/>
                <w:b/>
                <w:szCs w:val="22"/>
              </w:rPr>
            </w:pPr>
            <w:r w:rsidRPr="00D52C48">
              <w:rPr>
                <w:rFonts w:asciiTheme="minorHAnsi" w:hAnsiTheme="minorHAnsi"/>
                <w:b/>
                <w:szCs w:val="22"/>
              </w:rPr>
              <w:t>Nazwa wskaźnika rezultatu bezpośredniego</w:t>
            </w:r>
          </w:p>
        </w:tc>
        <w:tc>
          <w:tcPr>
            <w:tcW w:w="1611" w:type="dxa"/>
            <w:vAlign w:val="center"/>
          </w:tcPr>
          <w:p w14:paraId="26FD91C0" w14:textId="77777777" w:rsidR="005657D8" w:rsidRPr="00D52C48" w:rsidRDefault="005657D8" w:rsidP="00766AC5">
            <w:pPr>
              <w:suppressAutoHyphens/>
              <w:spacing w:before="0" w:line="240" w:lineRule="auto"/>
              <w:jc w:val="center"/>
              <w:rPr>
                <w:rFonts w:asciiTheme="minorHAnsi" w:hAnsiTheme="minorHAnsi"/>
                <w:b/>
                <w:bCs/>
                <w:szCs w:val="22"/>
              </w:rPr>
            </w:pPr>
            <w:r w:rsidRPr="00D52C48">
              <w:rPr>
                <w:rFonts w:asciiTheme="minorHAnsi" w:hAnsiTheme="minorHAnsi"/>
                <w:b/>
                <w:bCs/>
                <w:szCs w:val="22"/>
              </w:rPr>
              <w:t>Jednostka miary</w:t>
            </w:r>
          </w:p>
        </w:tc>
        <w:tc>
          <w:tcPr>
            <w:tcW w:w="3921" w:type="dxa"/>
            <w:shd w:val="clear" w:color="auto" w:fill="auto"/>
            <w:vAlign w:val="center"/>
          </w:tcPr>
          <w:p w14:paraId="68CD2E2A" w14:textId="77777777" w:rsidR="005657D8" w:rsidRPr="00D52C48" w:rsidRDefault="005657D8" w:rsidP="00766AC5">
            <w:pPr>
              <w:suppressAutoHyphens/>
              <w:spacing w:before="0" w:line="240" w:lineRule="auto"/>
              <w:jc w:val="center"/>
              <w:rPr>
                <w:rFonts w:asciiTheme="minorHAnsi" w:hAnsiTheme="minorHAnsi"/>
                <w:b/>
                <w:szCs w:val="22"/>
              </w:rPr>
            </w:pPr>
            <w:r w:rsidRPr="00D52C48">
              <w:rPr>
                <w:rFonts w:asciiTheme="minorHAnsi" w:hAnsiTheme="minorHAnsi"/>
                <w:b/>
                <w:bCs/>
                <w:szCs w:val="22"/>
              </w:rPr>
              <w:t>Definicja wskaźnika</w:t>
            </w:r>
          </w:p>
        </w:tc>
        <w:tc>
          <w:tcPr>
            <w:tcW w:w="1803" w:type="dxa"/>
            <w:vAlign w:val="center"/>
          </w:tcPr>
          <w:p w14:paraId="22710309" w14:textId="77777777" w:rsidR="005657D8" w:rsidRPr="00D52C48" w:rsidRDefault="007E025A" w:rsidP="00766AC5">
            <w:pPr>
              <w:suppressAutoHyphens/>
              <w:spacing w:before="0" w:line="240" w:lineRule="auto"/>
              <w:jc w:val="center"/>
              <w:rPr>
                <w:rFonts w:asciiTheme="minorHAnsi" w:hAnsiTheme="minorHAnsi"/>
                <w:b/>
                <w:bCs/>
                <w:szCs w:val="22"/>
              </w:rPr>
            </w:pPr>
            <w:r w:rsidRPr="00D52C48">
              <w:rPr>
                <w:rFonts w:asciiTheme="minorHAnsi" w:hAnsiTheme="minorHAnsi"/>
                <w:b/>
                <w:bCs/>
                <w:szCs w:val="22"/>
              </w:rPr>
              <w:t>Rodzaj dokumentu, w </w:t>
            </w:r>
            <w:r w:rsidR="005657D8" w:rsidRPr="00D52C48">
              <w:rPr>
                <w:rFonts w:asciiTheme="minorHAnsi" w:hAnsiTheme="minorHAnsi"/>
                <w:b/>
                <w:bCs/>
                <w:szCs w:val="22"/>
              </w:rPr>
              <w:t>którym określono wskaźnik</w:t>
            </w:r>
          </w:p>
        </w:tc>
      </w:tr>
      <w:tr w:rsidR="00FA0CF9" w:rsidRPr="00D52C48" w14:paraId="16E86301" w14:textId="77777777" w:rsidTr="007B5608">
        <w:trPr>
          <w:trHeight w:val="20"/>
          <w:jc w:val="center"/>
        </w:trPr>
        <w:tc>
          <w:tcPr>
            <w:tcW w:w="0" w:type="auto"/>
            <w:shd w:val="clear" w:color="auto" w:fill="auto"/>
          </w:tcPr>
          <w:p w14:paraId="6C62A257" w14:textId="051D97F0" w:rsidR="00FA0CF9" w:rsidRPr="00D52C48" w:rsidRDefault="00FA0CF9" w:rsidP="00766AC5">
            <w:pPr>
              <w:pStyle w:val="Default"/>
              <w:rPr>
                <w:rFonts w:asciiTheme="minorHAnsi" w:hAnsiTheme="minorHAnsi"/>
                <w:sz w:val="22"/>
                <w:szCs w:val="22"/>
              </w:rPr>
            </w:pPr>
            <w:r w:rsidRPr="00D52C48">
              <w:rPr>
                <w:rFonts w:asciiTheme="minorHAnsi" w:hAnsiTheme="minorHAnsi"/>
                <w:sz w:val="22"/>
                <w:szCs w:val="22"/>
              </w:rPr>
              <w:t>Szacowany roczny spadek emisji gazów cieplarnianych</w:t>
            </w:r>
          </w:p>
        </w:tc>
        <w:tc>
          <w:tcPr>
            <w:tcW w:w="1611" w:type="dxa"/>
          </w:tcPr>
          <w:p w14:paraId="1EFACC23" w14:textId="09E11DC6" w:rsidR="00FA0CF9" w:rsidRPr="00D52C48" w:rsidRDefault="00FA0CF9" w:rsidP="003F1889">
            <w:pPr>
              <w:spacing w:before="0" w:line="240" w:lineRule="auto"/>
              <w:jc w:val="center"/>
              <w:rPr>
                <w:rFonts w:asciiTheme="minorHAnsi" w:hAnsiTheme="minorHAnsi"/>
              </w:rPr>
            </w:pPr>
            <w:r w:rsidRPr="00E92C52">
              <w:rPr>
                <w:rFonts w:asciiTheme="minorHAnsi" w:hAnsiTheme="minorHAnsi"/>
                <w:szCs w:val="22"/>
              </w:rPr>
              <w:t>Tony równoważnika CO2</w:t>
            </w:r>
          </w:p>
        </w:tc>
        <w:tc>
          <w:tcPr>
            <w:tcW w:w="3921" w:type="dxa"/>
            <w:shd w:val="clear" w:color="auto" w:fill="auto"/>
          </w:tcPr>
          <w:p w14:paraId="0BC7DD41" w14:textId="77777777" w:rsidR="00FA0CF9" w:rsidRPr="00D52C48" w:rsidRDefault="007B5608" w:rsidP="007B5608">
            <w:pPr>
              <w:autoSpaceDE w:val="0"/>
              <w:autoSpaceDN w:val="0"/>
              <w:adjustRightInd w:val="0"/>
              <w:spacing w:line="240" w:lineRule="auto"/>
              <w:jc w:val="both"/>
              <w:rPr>
                <w:rFonts w:asciiTheme="minorHAnsi" w:hAnsiTheme="minorHAnsi"/>
                <w:szCs w:val="22"/>
              </w:rPr>
            </w:pPr>
            <w:r w:rsidRPr="00D52C48">
              <w:rPr>
                <w:rFonts w:asciiTheme="minorHAnsi" w:hAnsiTheme="minorHAnsi"/>
                <w:szCs w:val="22"/>
              </w:rPr>
              <w:t xml:space="preserve">Wersja robocza tłumaczenia: Wskaźnik ten jest liczony dla interwencji bezpośrednio zwiększających produkcję energii ze źródeł odnawialnych lub zmniejszających zużycie energii za pomocą działań uzyskujących oszczędność energii, dlatego też jego stosowanie jest obowiązkowe tylko w przypadkach, gdzie wskaźniki te są istotne. Stosowanie wskaźnika w </w:t>
            </w:r>
            <w:r w:rsidRPr="00D52C48">
              <w:rPr>
                <w:rFonts w:asciiTheme="minorHAnsi" w:hAnsiTheme="minorHAnsi"/>
                <w:szCs w:val="22"/>
              </w:rPr>
              <w:lastRenderedPageBreak/>
              <w:t>przypadku innych interwencji, gdzie możliwe są skutki emisji gazów cieplarnianych, jest opcjonalne przy użyciu metodologii opracowanej przez IZ. Wskaźnik pokaże całkowity szacowany roczny spadek na koniec okresu, a nie całkowity spadek w całym okresie. W przypadku produkcji energii odnawialnej, prognoza opiera się na ilości energii pierwotnej produkowanej przez wsparte przedsiębiorstwa/ podmioty w danym roku (albo rok po zakończeniu projektu lub rok kalendarzowy po zakończeniu projektu). Energia odnawialna powinna być neutralna pod względem emisji gazów cieplarnianych i powinna zastąpić produkcję energii ze źródeł nieodnawialnych. Wpływ emisji gazów cieplarnianych w przypadku energii nieodnawialnej jest szacowany poprzez całkowitą emisję przez państwo członkowskie gazów cieplarnianych na jednostkę produkcji energii nieodnawialnej. W przypadku działań uzyskujących oszczędność energii, prognoza opiera się na ilości energii pierwotnej oszczędzonej w danym roku w ramach wspieranych operacji (albo rok po zakończeniu projektu, albo rok kalendarzowy po zakończeniu projektu). Zaoszczędzona energia ma zastąpić produkcję energii ze źródeł nieodnawialnych. Wpływ emisji gazów cieplarnianych w przypadku energii nieodnawialnej jest szacowany poprzez całkowitą emisję przez państwo członkowskie gazów</w:t>
            </w:r>
          </w:p>
          <w:p w14:paraId="16760DBE" w14:textId="55E5FF9E" w:rsidR="007B5608" w:rsidRPr="00D52C48" w:rsidRDefault="007B5608" w:rsidP="007B5608">
            <w:pPr>
              <w:autoSpaceDE w:val="0"/>
              <w:autoSpaceDN w:val="0"/>
              <w:adjustRightInd w:val="0"/>
              <w:spacing w:line="240" w:lineRule="auto"/>
              <w:jc w:val="both"/>
              <w:rPr>
                <w:rFonts w:asciiTheme="minorHAnsi" w:hAnsiTheme="minorHAnsi"/>
                <w:szCs w:val="22"/>
                <w:lang w:val="en-US"/>
              </w:rPr>
            </w:pPr>
            <w:r w:rsidRPr="00D52C48">
              <w:rPr>
                <w:rFonts w:asciiTheme="minorHAnsi" w:hAnsiTheme="minorHAnsi"/>
                <w:szCs w:val="22"/>
              </w:rPr>
              <w:t xml:space="preserve">cieplarnianych na jednostkę produkcji energii nieodnawialnej. Szacunkowa wartość spadku emisji gazów cieplarnianych wynika wyłącznie z przeprowadzonych działań w tym zakresie, nie uwzględnia szacowanego spadku spowodowanego innymi czynnikami (np. ograniczeniem produkcji, zmiany profilu produkcji). </w:t>
            </w:r>
            <w:r w:rsidRPr="00D52C48">
              <w:rPr>
                <w:rFonts w:asciiTheme="minorHAnsi" w:hAnsiTheme="minorHAnsi"/>
                <w:szCs w:val="22"/>
                <w:lang w:val="en-US"/>
              </w:rPr>
              <w:t xml:space="preserve">This indicator is calculated for interventions directly aiming to increase renewable energy production or to decrease energy consumption through energy saving measures, thus its use is mandatory only </w:t>
            </w:r>
            <w:r w:rsidRPr="00D52C48">
              <w:rPr>
                <w:rFonts w:asciiTheme="minorHAnsi" w:hAnsiTheme="minorHAnsi"/>
                <w:szCs w:val="22"/>
                <w:lang w:val="en-US"/>
              </w:rPr>
              <w:lastRenderedPageBreak/>
              <w:t>where these indicators are relevant. Uses for other interventions with possible GHG impact are optional with methodology developed by the MA. The indicator will show the total estimated of annual decrease by the end of the period, not the total decrease throughout the period. In case of renewable energy production, the estimate is based on the amount of primary energy produced by supported facilities in a given year (either one year following project completion or the calendar year after project completion). Renewable energy is supposed to be GHG neutral and replacing non-renewable energy production. GHG impact of nonrenewable energy is estimated through the MS total GHG emission per unit of non-renewable energy production. In case of energy saving measures, the estimate is based on the amount of primary energy saved through in a given year supported operations (either one year following project completion or the calendar year after project completion). Saved energy is supposed to be replacing nonrenewable energy production. GHG impact of non-renewable energy is estimated through the MS total GHG emission per unit of nonrenewable energy production</w:t>
            </w:r>
          </w:p>
        </w:tc>
        <w:tc>
          <w:tcPr>
            <w:tcW w:w="1803" w:type="dxa"/>
          </w:tcPr>
          <w:p w14:paraId="49FA0040" w14:textId="53175579" w:rsidR="00FA0CF9" w:rsidRPr="00D52C48" w:rsidRDefault="00FA0CF9" w:rsidP="003F1889">
            <w:pPr>
              <w:spacing w:line="240" w:lineRule="auto"/>
              <w:jc w:val="center"/>
              <w:rPr>
                <w:rFonts w:asciiTheme="minorHAnsi" w:eastAsiaTheme="minorHAnsi" w:hAnsiTheme="minorHAnsi"/>
                <w:szCs w:val="22"/>
                <w:lang w:eastAsia="en-US"/>
              </w:rPr>
            </w:pPr>
            <w:r w:rsidRPr="00E92C52">
              <w:rPr>
                <w:rFonts w:asciiTheme="minorHAnsi" w:eastAsiaTheme="minorHAnsi" w:hAnsiTheme="minorHAnsi" w:cs="Verdana"/>
                <w:szCs w:val="22"/>
                <w:lang w:val="en-US" w:eastAsia="en-US"/>
              </w:rPr>
              <w:lastRenderedPageBreak/>
              <w:t xml:space="preserve">RPO </w:t>
            </w:r>
            <w:bookmarkStart w:id="3" w:name="_GoBack"/>
            <w:bookmarkEnd w:id="3"/>
            <w:r w:rsidRPr="00E92C52">
              <w:rPr>
                <w:rFonts w:asciiTheme="minorHAnsi" w:eastAsiaTheme="minorHAnsi" w:hAnsiTheme="minorHAnsi" w:cs="Verdana"/>
                <w:szCs w:val="22"/>
                <w:lang w:val="en-US" w:eastAsia="en-US"/>
              </w:rPr>
              <w:t>WD</w:t>
            </w:r>
          </w:p>
        </w:tc>
      </w:tr>
      <w:tr w:rsidR="00FA0CF9" w:rsidRPr="00D52C48" w14:paraId="7CC54726" w14:textId="77777777" w:rsidTr="007B5608">
        <w:trPr>
          <w:trHeight w:val="20"/>
          <w:jc w:val="center"/>
        </w:trPr>
        <w:tc>
          <w:tcPr>
            <w:tcW w:w="0" w:type="auto"/>
            <w:shd w:val="clear" w:color="auto" w:fill="auto"/>
          </w:tcPr>
          <w:p w14:paraId="7D7975C1" w14:textId="028AA5A4" w:rsidR="00FA0CF9" w:rsidRPr="00D52C48" w:rsidRDefault="00FA0CF9" w:rsidP="00766AC5">
            <w:pPr>
              <w:pStyle w:val="Default"/>
              <w:rPr>
                <w:rFonts w:asciiTheme="minorHAnsi" w:hAnsiTheme="minorHAnsi"/>
                <w:sz w:val="22"/>
                <w:szCs w:val="22"/>
              </w:rPr>
            </w:pPr>
            <w:r w:rsidRPr="00D52C48">
              <w:rPr>
                <w:rFonts w:asciiTheme="minorHAnsi" w:hAnsiTheme="minorHAnsi"/>
                <w:sz w:val="22"/>
                <w:szCs w:val="22"/>
              </w:rPr>
              <w:lastRenderedPageBreak/>
              <w:t xml:space="preserve">Roczny spadek emisji PM 10  </w:t>
            </w:r>
          </w:p>
        </w:tc>
        <w:tc>
          <w:tcPr>
            <w:tcW w:w="1611" w:type="dxa"/>
          </w:tcPr>
          <w:p w14:paraId="37A76A05" w14:textId="691F8794" w:rsidR="00FA0CF9" w:rsidRPr="00D52C48" w:rsidRDefault="00FA0CF9" w:rsidP="003F1889">
            <w:pPr>
              <w:spacing w:before="0" w:line="240" w:lineRule="auto"/>
              <w:jc w:val="center"/>
            </w:pPr>
            <w:r w:rsidRPr="00E92C52">
              <w:rPr>
                <w:rFonts w:asciiTheme="minorHAnsi" w:hAnsiTheme="minorHAnsi"/>
                <w:szCs w:val="22"/>
              </w:rPr>
              <w:t>tony</w:t>
            </w:r>
          </w:p>
        </w:tc>
        <w:tc>
          <w:tcPr>
            <w:tcW w:w="3921" w:type="dxa"/>
            <w:shd w:val="clear" w:color="auto" w:fill="auto"/>
          </w:tcPr>
          <w:p w14:paraId="2C9B13DD" w14:textId="7E02C085" w:rsidR="00FA0CF9" w:rsidRPr="00D52C48" w:rsidRDefault="00A22869" w:rsidP="00A22869">
            <w:pPr>
              <w:autoSpaceDE w:val="0"/>
              <w:autoSpaceDN w:val="0"/>
              <w:adjustRightInd w:val="0"/>
              <w:spacing w:line="240" w:lineRule="auto"/>
              <w:jc w:val="both"/>
              <w:rPr>
                <w:rFonts w:asciiTheme="minorHAnsi" w:hAnsiTheme="minorHAnsi"/>
                <w:szCs w:val="22"/>
              </w:rPr>
            </w:pPr>
            <w:r w:rsidRPr="00D52C48">
              <w:rPr>
                <w:rFonts w:asciiTheme="minorHAnsi" w:hAnsiTheme="minorHAnsi"/>
                <w:szCs w:val="22"/>
              </w:rPr>
              <w:t>Roczny spadek emisji pyłów PM 10 wskutek realizacji projektu (różnica pomiędzy emisją przed realizacją projektu a emisją po realizacji projektu) wyszacowany na podstawie prognozowanego zużycia paliwa albo wyliczony na podstawie rzeczywistego zużycia rok po realizacji projektu, tak aby okres rozliczeniowy obejmował pełny sezon grzewczy. Wskaźnik obliczany dla źródła ciepła podlegającego wymianie.</w:t>
            </w:r>
          </w:p>
        </w:tc>
        <w:tc>
          <w:tcPr>
            <w:tcW w:w="1803" w:type="dxa"/>
          </w:tcPr>
          <w:p w14:paraId="5455DB27" w14:textId="1414349F" w:rsidR="00FA0CF9" w:rsidRPr="00D52C48" w:rsidRDefault="00FA0CF9" w:rsidP="003F1889">
            <w:pPr>
              <w:spacing w:line="240" w:lineRule="auto"/>
              <w:jc w:val="center"/>
              <w:rPr>
                <w:rFonts w:cs="Arial"/>
              </w:rPr>
            </w:pPr>
            <w:r w:rsidRPr="00E92C52">
              <w:rPr>
                <w:rFonts w:asciiTheme="minorHAnsi" w:eastAsiaTheme="minorHAnsi" w:hAnsiTheme="minorHAnsi" w:cs="Verdana"/>
                <w:szCs w:val="22"/>
                <w:lang w:val="en-US" w:eastAsia="en-US"/>
              </w:rPr>
              <w:t>SZOOP RPO WD</w:t>
            </w:r>
          </w:p>
        </w:tc>
      </w:tr>
      <w:tr w:rsidR="00FA0CF9" w:rsidRPr="00D52C48" w14:paraId="43014779" w14:textId="77777777" w:rsidTr="007B5608">
        <w:trPr>
          <w:trHeight w:val="20"/>
          <w:jc w:val="center"/>
        </w:trPr>
        <w:tc>
          <w:tcPr>
            <w:tcW w:w="0" w:type="auto"/>
            <w:shd w:val="clear" w:color="auto" w:fill="auto"/>
          </w:tcPr>
          <w:p w14:paraId="267D67CF" w14:textId="2FF0D9F2" w:rsidR="00FA0CF9" w:rsidRPr="00D52C48" w:rsidRDefault="00FA0CF9" w:rsidP="00766AC5">
            <w:pPr>
              <w:pStyle w:val="Default"/>
              <w:rPr>
                <w:rFonts w:asciiTheme="minorHAnsi" w:hAnsiTheme="minorHAnsi"/>
                <w:sz w:val="22"/>
                <w:szCs w:val="22"/>
              </w:rPr>
            </w:pPr>
            <w:r w:rsidRPr="00D52C48">
              <w:rPr>
                <w:rFonts w:asciiTheme="minorHAnsi" w:hAnsiTheme="minorHAnsi"/>
                <w:sz w:val="22"/>
                <w:szCs w:val="22"/>
              </w:rPr>
              <w:t>Roczny spadek emisji PM 2,5</w:t>
            </w:r>
          </w:p>
        </w:tc>
        <w:tc>
          <w:tcPr>
            <w:tcW w:w="1611" w:type="dxa"/>
          </w:tcPr>
          <w:p w14:paraId="34043BE1" w14:textId="7C57E7B3" w:rsidR="00FA0CF9" w:rsidRPr="00D52C48" w:rsidRDefault="00FA0CF9" w:rsidP="003F1889">
            <w:pPr>
              <w:spacing w:before="0" w:line="240" w:lineRule="auto"/>
              <w:jc w:val="center"/>
            </w:pPr>
            <w:r w:rsidRPr="00E92C52">
              <w:rPr>
                <w:rFonts w:asciiTheme="minorHAnsi" w:hAnsiTheme="minorHAnsi"/>
                <w:szCs w:val="22"/>
              </w:rPr>
              <w:t>tony</w:t>
            </w:r>
          </w:p>
        </w:tc>
        <w:tc>
          <w:tcPr>
            <w:tcW w:w="3921" w:type="dxa"/>
            <w:shd w:val="clear" w:color="auto" w:fill="auto"/>
          </w:tcPr>
          <w:p w14:paraId="2179EBC0" w14:textId="35A60197" w:rsidR="00FA0CF9" w:rsidRPr="00D52C48" w:rsidRDefault="00A22869" w:rsidP="00A22869">
            <w:pPr>
              <w:autoSpaceDE w:val="0"/>
              <w:autoSpaceDN w:val="0"/>
              <w:adjustRightInd w:val="0"/>
              <w:spacing w:line="240" w:lineRule="auto"/>
              <w:jc w:val="both"/>
              <w:rPr>
                <w:rFonts w:asciiTheme="minorHAnsi" w:hAnsiTheme="minorHAnsi"/>
                <w:szCs w:val="22"/>
              </w:rPr>
            </w:pPr>
            <w:r w:rsidRPr="00D52C48">
              <w:rPr>
                <w:rFonts w:asciiTheme="minorHAnsi" w:hAnsiTheme="minorHAnsi"/>
                <w:szCs w:val="22"/>
              </w:rPr>
              <w:t xml:space="preserve">Roczny spadek emisji pyłów PM 2,5 wskutek realizacji projektu (różnica pomiędzy emisją przed realizacją projektu a emisją po realizacji projektu) wyszacowany na podstawie prognozowanego zużycia paliwa albo </w:t>
            </w:r>
            <w:r w:rsidRPr="00D52C48">
              <w:rPr>
                <w:rFonts w:asciiTheme="minorHAnsi" w:hAnsiTheme="minorHAnsi"/>
                <w:szCs w:val="22"/>
              </w:rPr>
              <w:lastRenderedPageBreak/>
              <w:t>wyliczony na podstawie rzeczywistego zużycia rok po realizacji projektu, tak aby okres rozliczeniowy obejmował pełny sezon grzewczy. Wskaźnik obliczany dla źródła ciepła podlegającego wymianie.</w:t>
            </w:r>
          </w:p>
        </w:tc>
        <w:tc>
          <w:tcPr>
            <w:tcW w:w="1803" w:type="dxa"/>
          </w:tcPr>
          <w:p w14:paraId="5D55E363" w14:textId="05F29000" w:rsidR="00FA0CF9" w:rsidRPr="00D52C48" w:rsidRDefault="00FA0CF9" w:rsidP="003F1889">
            <w:pPr>
              <w:spacing w:line="240" w:lineRule="auto"/>
              <w:jc w:val="center"/>
              <w:rPr>
                <w:rFonts w:cs="Arial"/>
              </w:rPr>
            </w:pPr>
            <w:r w:rsidRPr="00E92C52">
              <w:rPr>
                <w:rFonts w:asciiTheme="minorHAnsi" w:eastAsiaTheme="minorHAnsi" w:hAnsiTheme="minorHAnsi" w:cs="Verdana"/>
                <w:szCs w:val="22"/>
                <w:lang w:val="en-US" w:eastAsia="en-US"/>
              </w:rPr>
              <w:lastRenderedPageBreak/>
              <w:t>SZOOP RPO WD</w:t>
            </w:r>
          </w:p>
        </w:tc>
      </w:tr>
      <w:tr w:rsidR="00FA0CF9" w:rsidRPr="00D52C48" w14:paraId="66DD4809" w14:textId="77777777" w:rsidTr="007B5608">
        <w:trPr>
          <w:trHeight w:val="20"/>
          <w:jc w:val="center"/>
        </w:trPr>
        <w:tc>
          <w:tcPr>
            <w:tcW w:w="0" w:type="auto"/>
            <w:shd w:val="clear" w:color="auto" w:fill="auto"/>
          </w:tcPr>
          <w:p w14:paraId="794A5FB9" w14:textId="22A083CE" w:rsidR="00FA0CF9" w:rsidRPr="00D52C48" w:rsidRDefault="00FA0CF9" w:rsidP="00766AC5">
            <w:pPr>
              <w:pStyle w:val="Default"/>
              <w:rPr>
                <w:rFonts w:asciiTheme="minorHAnsi" w:hAnsiTheme="minorHAnsi"/>
                <w:sz w:val="22"/>
                <w:szCs w:val="22"/>
              </w:rPr>
            </w:pPr>
            <w:r w:rsidRPr="00D52C48">
              <w:rPr>
                <w:rFonts w:asciiTheme="minorHAnsi" w:hAnsiTheme="minorHAnsi"/>
                <w:sz w:val="22"/>
                <w:szCs w:val="22"/>
              </w:rPr>
              <w:lastRenderedPageBreak/>
              <w:t>Ilość zaoszczędzonej energii cieplnej</w:t>
            </w:r>
          </w:p>
        </w:tc>
        <w:tc>
          <w:tcPr>
            <w:tcW w:w="1611" w:type="dxa"/>
          </w:tcPr>
          <w:p w14:paraId="35472961" w14:textId="027EE94D" w:rsidR="00FA0CF9" w:rsidRPr="00D52C48" w:rsidRDefault="00FA0CF9" w:rsidP="003F1889">
            <w:pPr>
              <w:spacing w:before="0" w:line="240" w:lineRule="auto"/>
              <w:jc w:val="center"/>
            </w:pPr>
            <w:r w:rsidRPr="00E92C52">
              <w:rPr>
                <w:rFonts w:asciiTheme="minorHAnsi" w:hAnsiTheme="minorHAnsi"/>
                <w:szCs w:val="22"/>
              </w:rPr>
              <w:t>GJ/rok</w:t>
            </w:r>
          </w:p>
        </w:tc>
        <w:tc>
          <w:tcPr>
            <w:tcW w:w="3921" w:type="dxa"/>
            <w:shd w:val="clear" w:color="auto" w:fill="auto"/>
          </w:tcPr>
          <w:p w14:paraId="121DF3A3" w14:textId="77777777" w:rsidR="00FA0CF9" w:rsidRPr="00D52C48" w:rsidRDefault="007B5608" w:rsidP="007B5608">
            <w:pPr>
              <w:autoSpaceDE w:val="0"/>
              <w:autoSpaceDN w:val="0"/>
              <w:adjustRightInd w:val="0"/>
              <w:spacing w:before="0" w:line="240" w:lineRule="auto"/>
              <w:jc w:val="both"/>
              <w:rPr>
                <w:rFonts w:asciiTheme="minorHAnsi" w:hAnsiTheme="minorHAnsi"/>
                <w:szCs w:val="22"/>
              </w:rPr>
            </w:pPr>
            <w:r w:rsidRPr="00D52C48">
              <w:rPr>
                <w:rFonts w:asciiTheme="minorHAnsi" w:hAnsiTheme="minorHAnsi"/>
                <w:szCs w:val="22"/>
              </w:rPr>
              <w:t>Ilość zaoszczędzonej w wyniku realizacji projektu energii cieplnej w dystrybucji w ciągu pełnego roku po zakończeniu projektu. W przypadku przedsiębiorstw produkcyjnych: różnica między rocznym zużyciem energii cieplnej w roku bazowym w stosunku do rocznego zużycia energii cieplnej po zakończeniu projektu, skorygowana w przypadku zmiany wielkości produkcji.</w:t>
            </w:r>
          </w:p>
          <w:p w14:paraId="060B3ABE" w14:textId="06307A73" w:rsidR="007B5608" w:rsidRPr="00D52C48" w:rsidRDefault="007B5608" w:rsidP="007B5608">
            <w:pPr>
              <w:autoSpaceDE w:val="0"/>
              <w:autoSpaceDN w:val="0"/>
              <w:adjustRightInd w:val="0"/>
              <w:spacing w:before="0" w:line="240" w:lineRule="auto"/>
              <w:jc w:val="both"/>
              <w:rPr>
                <w:rFonts w:asciiTheme="minorHAnsi" w:hAnsiTheme="minorHAnsi"/>
                <w:szCs w:val="22"/>
              </w:rPr>
            </w:pPr>
            <w:r w:rsidRPr="00D52C48">
              <w:rPr>
                <w:rFonts w:asciiTheme="minorHAnsi" w:hAnsiTheme="minorHAnsi"/>
                <w:szCs w:val="22"/>
              </w:rPr>
              <w:t>W przypadku modernizacji energetycznej budynków: różnica między rocznym zużyciem energii cieplnej w roku bazowym w stosunku do rocznego zużycia energii cieplnej po zakończeniu projektu. Energia cieplna – energia w wodzie gorącej, parze lub w innych nośnikach.</w:t>
            </w:r>
          </w:p>
        </w:tc>
        <w:tc>
          <w:tcPr>
            <w:tcW w:w="1803" w:type="dxa"/>
          </w:tcPr>
          <w:p w14:paraId="77D94FF4" w14:textId="0846A8B2" w:rsidR="00FA0CF9" w:rsidRPr="00D52C48" w:rsidRDefault="00FA0CF9" w:rsidP="003F1889">
            <w:pPr>
              <w:spacing w:line="240" w:lineRule="auto"/>
              <w:jc w:val="center"/>
              <w:rPr>
                <w:rFonts w:cs="Arial"/>
              </w:rPr>
            </w:pPr>
            <w:r w:rsidRPr="00E92C52">
              <w:rPr>
                <w:rFonts w:asciiTheme="minorHAnsi" w:eastAsiaTheme="minorHAnsi" w:hAnsiTheme="minorHAnsi" w:cs="Verdana"/>
                <w:szCs w:val="22"/>
                <w:lang w:val="en-US" w:eastAsia="en-US"/>
              </w:rPr>
              <w:t>SZOOP RPO WD</w:t>
            </w:r>
          </w:p>
        </w:tc>
      </w:tr>
      <w:tr w:rsidR="00FA0CF9" w:rsidRPr="00D52C48" w14:paraId="2C7A518F" w14:textId="77777777" w:rsidTr="007B5608">
        <w:trPr>
          <w:trHeight w:val="20"/>
          <w:jc w:val="center"/>
        </w:trPr>
        <w:tc>
          <w:tcPr>
            <w:tcW w:w="0" w:type="auto"/>
            <w:shd w:val="clear" w:color="auto" w:fill="auto"/>
          </w:tcPr>
          <w:p w14:paraId="01E618E2" w14:textId="6EB7D555" w:rsidR="00FA0CF9" w:rsidRPr="00D52C48" w:rsidRDefault="007B5608" w:rsidP="00766AC5">
            <w:pPr>
              <w:pStyle w:val="Default"/>
              <w:rPr>
                <w:rFonts w:asciiTheme="minorHAnsi" w:hAnsiTheme="minorHAnsi"/>
                <w:sz w:val="22"/>
                <w:szCs w:val="22"/>
              </w:rPr>
            </w:pPr>
            <w:r w:rsidRPr="00D52C48">
              <w:rPr>
                <w:rFonts w:asciiTheme="minorHAnsi" w:hAnsiTheme="minorHAnsi"/>
                <w:sz w:val="22"/>
                <w:szCs w:val="22"/>
              </w:rPr>
              <w:t>Ilość zaoszczędzonej energii elektrycznej</w:t>
            </w:r>
          </w:p>
        </w:tc>
        <w:tc>
          <w:tcPr>
            <w:tcW w:w="1611" w:type="dxa"/>
          </w:tcPr>
          <w:p w14:paraId="735548C0" w14:textId="45C26711" w:rsidR="00FA0CF9" w:rsidRPr="00D52C48" w:rsidRDefault="007B5608" w:rsidP="003F1889">
            <w:pPr>
              <w:spacing w:before="0" w:line="240" w:lineRule="auto"/>
              <w:jc w:val="center"/>
            </w:pPr>
            <w:r w:rsidRPr="00E92C52">
              <w:rPr>
                <w:rFonts w:asciiTheme="minorHAnsi" w:hAnsiTheme="minorHAnsi"/>
                <w:szCs w:val="22"/>
              </w:rPr>
              <w:t>MWh/rok</w:t>
            </w:r>
          </w:p>
        </w:tc>
        <w:tc>
          <w:tcPr>
            <w:tcW w:w="3921" w:type="dxa"/>
            <w:shd w:val="clear" w:color="auto" w:fill="auto"/>
          </w:tcPr>
          <w:p w14:paraId="29D4E5DD" w14:textId="74E36847" w:rsidR="00FA0CF9" w:rsidRPr="00D52C48" w:rsidRDefault="007B5608" w:rsidP="007B5608">
            <w:pPr>
              <w:autoSpaceDE w:val="0"/>
              <w:autoSpaceDN w:val="0"/>
              <w:adjustRightInd w:val="0"/>
              <w:spacing w:line="240" w:lineRule="auto"/>
              <w:jc w:val="both"/>
              <w:rPr>
                <w:rFonts w:asciiTheme="minorHAnsi" w:hAnsiTheme="minorHAnsi"/>
                <w:szCs w:val="22"/>
              </w:rPr>
            </w:pPr>
            <w:r w:rsidRPr="00D52C48">
              <w:rPr>
                <w:rFonts w:asciiTheme="minorHAnsi" w:hAnsiTheme="minorHAnsi"/>
                <w:szCs w:val="22"/>
              </w:rPr>
              <w:t>Ilość zaoszczędzonej w wyniku realizacji projektu energii elektrycznej w dystrybucji w ciągu pełnego roku po zakończeniu projektu w stosunku do roku bazowego. W przypadku przedsiębiorstw produkcyjnych: różnica między rocznym zużyciem energii elektrycznej w roku bazowym w stosunku do rocznego zużycia energii elektrycznej po zakończeniu projektu, skorygowana w przypadku zmiany wielkości produkcji. W przypadku modernizacji energetycznej budynków: różnica między rocznym zużyciem energii elektrycznej w roku bazowym w stosunku do rocznego zużycia energii elektrycznej po zakończeniu projektu.</w:t>
            </w:r>
          </w:p>
        </w:tc>
        <w:tc>
          <w:tcPr>
            <w:tcW w:w="1803" w:type="dxa"/>
          </w:tcPr>
          <w:p w14:paraId="67832048" w14:textId="0E16F979" w:rsidR="00FA0CF9" w:rsidRPr="00D52C48" w:rsidRDefault="007B5608" w:rsidP="003F1889">
            <w:pPr>
              <w:spacing w:line="240" w:lineRule="auto"/>
              <w:jc w:val="center"/>
              <w:rPr>
                <w:rFonts w:cs="Arial"/>
              </w:rPr>
            </w:pPr>
            <w:r w:rsidRPr="00E92C52">
              <w:rPr>
                <w:rFonts w:asciiTheme="minorHAnsi" w:eastAsiaTheme="minorHAnsi" w:hAnsiTheme="minorHAnsi" w:cs="Verdana"/>
                <w:szCs w:val="22"/>
                <w:lang w:val="en-US" w:eastAsia="en-US"/>
              </w:rPr>
              <w:t>SZOOP RPO WD</w:t>
            </w:r>
          </w:p>
        </w:tc>
      </w:tr>
      <w:tr w:rsidR="00FB5F16" w:rsidRPr="00D52C48" w14:paraId="33C5CF96" w14:textId="77777777" w:rsidTr="007B5608">
        <w:trPr>
          <w:trHeight w:val="20"/>
          <w:jc w:val="center"/>
        </w:trPr>
        <w:tc>
          <w:tcPr>
            <w:tcW w:w="0" w:type="auto"/>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70383102" w14:textId="25CD2865" w:rsidR="00FB5F16" w:rsidRPr="00D52C48" w:rsidRDefault="007B5608" w:rsidP="00FB5F16">
            <w:pPr>
              <w:pStyle w:val="Default"/>
              <w:rPr>
                <w:rFonts w:asciiTheme="minorHAnsi" w:hAnsiTheme="minorHAnsi"/>
                <w:sz w:val="22"/>
                <w:szCs w:val="22"/>
              </w:rPr>
            </w:pPr>
            <w:r w:rsidRPr="00D52C48">
              <w:rPr>
                <w:rFonts w:asciiTheme="minorHAnsi" w:hAnsiTheme="minorHAnsi"/>
                <w:sz w:val="22"/>
                <w:szCs w:val="22"/>
              </w:rPr>
              <w:t>Wzrost zatrudnienia we wspieranych podmiotach (innych niż przedsiębiorstwa) O/K/M</w:t>
            </w:r>
          </w:p>
        </w:tc>
        <w:tc>
          <w:tcPr>
            <w:tcW w:w="16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BD0ADF" w14:textId="429D204A" w:rsidR="00FB5F16" w:rsidRPr="00D52C48" w:rsidRDefault="00FB5F16" w:rsidP="00FB5F16">
            <w:pPr>
              <w:spacing w:before="0" w:line="240" w:lineRule="auto"/>
              <w:jc w:val="center"/>
              <w:rPr>
                <w:rFonts w:asciiTheme="minorHAnsi" w:hAnsiTheme="minorHAnsi"/>
                <w:szCs w:val="22"/>
              </w:rPr>
            </w:pPr>
            <w:r w:rsidRPr="00D52C48">
              <w:rPr>
                <w:rFonts w:asciiTheme="minorHAnsi" w:hAnsiTheme="minorHAnsi" w:cs="ArialNarrow"/>
                <w:szCs w:val="22"/>
              </w:rPr>
              <w:t>EPC</w:t>
            </w:r>
            <w:r w:rsidR="007B5608" w:rsidRPr="00D52C48">
              <w:rPr>
                <w:rFonts w:asciiTheme="minorHAnsi" w:hAnsiTheme="minorHAnsi" w:cs="ArialNarrow"/>
                <w:szCs w:val="22"/>
              </w:rPr>
              <w:t xml:space="preserve"> (ekwiwalent pełnego czasu pracy)</w:t>
            </w:r>
          </w:p>
        </w:tc>
        <w:tc>
          <w:tcPr>
            <w:tcW w:w="39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D56CB48" w14:textId="77777777" w:rsidR="00323264" w:rsidRPr="00D52C48" w:rsidRDefault="00FB5F16" w:rsidP="007B5608">
            <w:pPr>
              <w:pStyle w:val="Default"/>
              <w:jc w:val="both"/>
              <w:rPr>
                <w:rFonts w:asciiTheme="minorHAnsi" w:eastAsiaTheme="minorHAnsi" w:hAnsiTheme="minorHAnsi" w:cs="Verdana"/>
                <w:sz w:val="22"/>
                <w:szCs w:val="22"/>
                <w:lang w:val="en-US" w:eastAsia="en-US"/>
              </w:rPr>
            </w:pPr>
            <w:r w:rsidRPr="00D52C48">
              <w:rPr>
                <w:rFonts w:asciiTheme="minorHAnsi" w:eastAsiaTheme="minorHAnsi" w:hAnsiTheme="minorHAnsi" w:cs="Verdana"/>
                <w:sz w:val="22"/>
                <w:szCs w:val="22"/>
                <w:lang w:val="en-US" w:eastAsia="en-US"/>
              </w:rPr>
              <w:t xml:space="preserve">Gross new working positions in supported enterprises in full time equivalents (FTE). 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w:t>
            </w:r>
            <w:r w:rsidRPr="00D52C48">
              <w:rPr>
                <w:rFonts w:asciiTheme="minorHAnsi" w:eastAsiaTheme="minorHAnsi" w:hAnsiTheme="minorHAnsi" w:cs="Verdana"/>
                <w:sz w:val="22"/>
                <w:szCs w:val="22"/>
                <w:lang w:val="en-US" w:eastAsia="en-US"/>
              </w:rPr>
              <w:lastRenderedPageBreak/>
              <w:t xml:space="preserve">total employment in the enterprise does not increase, the value is zero – it is regarded as realignment, not increase. Safeguarded etc. jobs are not included. Gross: Not counting the origin of the jobholder as long as it directly contributes to the increase of total jobs in the organisation. The indicator should be used if the employment increase can plausibly be attributed to the support. Full-time equivalent: Jobs can be full time, parttime or seasonal. Seasonal and part time jobs are to be converted to FTE using ILO/statistical/other standards. </w:t>
            </w:r>
          </w:p>
          <w:p w14:paraId="55C13A75" w14:textId="77777777" w:rsidR="00323264" w:rsidRPr="00D52C48" w:rsidRDefault="00323264" w:rsidP="007B5608">
            <w:pPr>
              <w:pStyle w:val="Default"/>
              <w:jc w:val="both"/>
              <w:rPr>
                <w:rFonts w:asciiTheme="minorHAnsi" w:eastAsiaTheme="minorHAnsi" w:hAnsiTheme="minorHAnsi" w:cs="Verdana"/>
                <w:sz w:val="22"/>
                <w:szCs w:val="22"/>
                <w:lang w:val="en-US" w:eastAsia="en-US"/>
              </w:rPr>
            </w:pPr>
          </w:p>
          <w:p w14:paraId="70EC8845" w14:textId="77777777" w:rsidR="00FB5F16" w:rsidRPr="00D52C48" w:rsidRDefault="00FB5F16" w:rsidP="007B5608">
            <w:pPr>
              <w:pStyle w:val="Default"/>
              <w:jc w:val="both"/>
              <w:rPr>
                <w:rFonts w:asciiTheme="minorHAnsi" w:hAnsiTheme="minorHAnsi"/>
                <w:b/>
                <w:iCs/>
                <w:sz w:val="22"/>
                <w:szCs w:val="22"/>
              </w:rPr>
            </w:pPr>
            <w:r w:rsidRPr="00D52C48">
              <w:rPr>
                <w:rFonts w:asciiTheme="minorHAnsi" w:hAnsiTheme="minorHAnsi"/>
                <w:b/>
                <w:iCs/>
                <w:sz w:val="22"/>
                <w:szCs w:val="22"/>
              </w:rPr>
              <w:t>Wersja robocza:</w:t>
            </w:r>
          </w:p>
          <w:p w14:paraId="3D34C33E" w14:textId="77777777" w:rsidR="00FB5F16" w:rsidRPr="00D52C48" w:rsidRDefault="00FB5F16" w:rsidP="007B5608">
            <w:pPr>
              <w:autoSpaceDE w:val="0"/>
              <w:autoSpaceDN w:val="0"/>
              <w:adjustRightInd w:val="0"/>
              <w:spacing w:before="0" w:line="240" w:lineRule="auto"/>
              <w:jc w:val="both"/>
              <w:rPr>
                <w:rFonts w:asciiTheme="minorHAnsi" w:eastAsiaTheme="minorHAnsi" w:hAnsiTheme="minorHAnsi" w:cs="Verdana"/>
                <w:szCs w:val="22"/>
                <w:lang w:eastAsia="en-US"/>
              </w:rPr>
            </w:pPr>
            <w:r w:rsidRPr="00D52C48">
              <w:rPr>
                <w:rFonts w:asciiTheme="minorHAnsi" w:eastAsiaTheme="minorHAnsi" w:hAnsiTheme="minorHAnsi" w:cs="Verdana"/>
                <w:szCs w:val="22"/>
                <w:lang w:eastAsia="en-US"/>
              </w:rPr>
              <w:t>Nowe miejsca pracy brutto we wspartych  przedsiębiorstwach wyrażone w ekwiwalencie pełnego czasu pracy (EPC). Wskaźnik ukazuje zmianę "przed-po" i obejmuje część wzrostu zatrudnienia w przedsiębiorstwie będącego bezpośrednim skutkiem zakończenia realizacji projektu (nie są wliczani pracownicy zatrudnieni do realizacji projektu). 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 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 ramach projektu. Ekwiwalent pełnego czasu pracy: miejsca pracy mogą być pełnoetatowe, na część etatu lub sezonowe, przy czym etaty częściowe podlegają sumowaniu lecz nie są zaokrąglane do pełnych jednostek. Zatrudnienie sezonowe i na część etatu przelicza się na EPC</w:t>
            </w:r>
            <w:r w:rsidR="00902C07" w:rsidRPr="00D52C48">
              <w:rPr>
                <w:rFonts w:asciiTheme="minorHAnsi" w:eastAsiaTheme="minorHAnsi" w:hAnsiTheme="minorHAnsi" w:cs="Verdana"/>
                <w:szCs w:val="22"/>
                <w:lang w:eastAsia="en-US"/>
              </w:rPr>
              <w:t xml:space="preserve"> </w:t>
            </w:r>
            <w:r w:rsidRPr="00D52C48">
              <w:rPr>
                <w:rFonts w:asciiTheme="minorHAnsi" w:eastAsiaTheme="minorHAnsi" w:hAnsiTheme="minorHAnsi" w:cs="Verdana"/>
                <w:szCs w:val="22"/>
                <w:lang w:eastAsia="en-US"/>
              </w:rPr>
              <w:t xml:space="preserve">z wykorzystaniem </w:t>
            </w:r>
            <w:r w:rsidRPr="00D52C48">
              <w:rPr>
                <w:rFonts w:asciiTheme="minorHAnsi" w:eastAsiaTheme="minorHAnsi" w:hAnsiTheme="minorHAnsi" w:cs="Verdana"/>
                <w:szCs w:val="22"/>
                <w:lang w:eastAsia="en-US"/>
              </w:rPr>
              <w:lastRenderedPageBreak/>
              <w:t>standardów ILO (Międzynarodowa Organizacja Pracy)/ statystycznych/innych.</w:t>
            </w:r>
          </w:p>
          <w:p w14:paraId="2C32E4E3" w14:textId="77777777" w:rsidR="00902C07" w:rsidRPr="00D52C48" w:rsidRDefault="00902C07" w:rsidP="007B5608">
            <w:pPr>
              <w:autoSpaceDE w:val="0"/>
              <w:autoSpaceDN w:val="0"/>
              <w:adjustRightInd w:val="0"/>
              <w:spacing w:before="0" w:line="240" w:lineRule="auto"/>
              <w:jc w:val="both"/>
              <w:rPr>
                <w:rFonts w:asciiTheme="minorHAnsi" w:eastAsiaTheme="minorHAnsi" w:hAnsiTheme="minorHAnsi" w:cs="Verdana"/>
                <w:szCs w:val="22"/>
                <w:lang w:eastAsia="en-US"/>
              </w:rPr>
            </w:pPr>
          </w:p>
          <w:p w14:paraId="37839741" w14:textId="77777777" w:rsidR="00902C07" w:rsidRPr="00D52C48" w:rsidRDefault="00902C07" w:rsidP="007B5608">
            <w:pPr>
              <w:autoSpaceDE w:val="0"/>
              <w:autoSpaceDN w:val="0"/>
              <w:adjustRightInd w:val="0"/>
              <w:spacing w:before="0" w:line="240" w:lineRule="auto"/>
              <w:jc w:val="both"/>
              <w:rPr>
                <w:rFonts w:asciiTheme="minorHAnsi" w:eastAsiaTheme="minorHAnsi" w:hAnsiTheme="minorHAnsi" w:cs="Verdana"/>
                <w:i/>
                <w:szCs w:val="22"/>
                <w:lang w:eastAsia="en-US"/>
              </w:rPr>
            </w:pPr>
            <w:r w:rsidRPr="00D52C48">
              <w:rPr>
                <w:rFonts w:asciiTheme="minorHAnsi" w:eastAsiaTheme="minorHAnsi" w:hAnsiTheme="minorHAnsi" w:cs="Verdana"/>
                <w:i/>
                <w:szCs w:val="22"/>
                <w:lang w:eastAsia="en-US"/>
              </w:rPr>
              <w:t>Wskaźnik liczy etaty utworzone w przedsiębiorstwach w wyniku realizacji projektu; dotyczy zatrudnionych na podstawie umowy o pracę (nie dotyczy umów cywilnoprawnych).</w:t>
            </w:r>
          </w:p>
        </w:tc>
        <w:tc>
          <w:tcPr>
            <w:tcW w:w="1803"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4E4E7AB2" w14:textId="75BCD25D" w:rsidR="00FB5F16" w:rsidRPr="00D52C48" w:rsidRDefault="007B5608" w:rsidP="00FB5F16">
            <w:pPr>
              <w:spacing w:line="240" w:lineRule="auto"/>
              <w:jc w:val="center"/>
              <w:rPr>
                <w:rFonts w:asciiTheme="minorHAnsi" w:hAnsiTheme="minorHAnsi"/>
                <w:szCs w:val="22"/>
              </w:rPr>
            </w:pPr>
            <w:r w:rsidRPr="00D52C48">
              <w:rPr>
                <w:rFonts w:cs="Arial"/>
              </w:rPr>
              <w:lastRenderedPageBreak/>
              <w:t>h</w:t>
            </w:r>
            <w:r w:rsidRPr="00E92C52">
              <w:rPr>
                <w:rFonts w:asciiTheme="minorHAnsi" w:eastAsiaTheme="minorHAnsi" w:hAnsiTheme="minorHAnsi" w:cstheme="minorBidi"/>
                <w:szCs w:val="22"/>
                <w:lang w:eastAsia="en-US"/>
              </w:rPr>
              <w:t>oryzontalny</w:t>
            </w:r>
          </w:p>
        </w:tc>
      </w:tr>
      <w:tr w:rsidR="00FB5F16" w:rsidRPr="00D52C48" w14:paraId="70052B17" w14:textId="77777777" w:rsidTr="007B5608">
        <w:trPr>
          <w:cantSplit/>
          <w:trHeight w:val="20"/>
          <w:jc w:val="center"/>
        </w:trPr>
        <w:tc>
          <w:tcPr>
            <w:tcW w:w="0" w:type="auto"/>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0A6DAA77" w14:textId="77777777" w:rsidR="00FB5F16" w:rsidRPr="00D52C48" w:rsidRDefault="00FB5F16" w:rsidP="00FB5F16">
            <w:pPr>
              <w:pStyle w:val="Default"/>
              <w:rPr>
                <w:rFonts w:asciiTheme="minorHAnsi" w:hAnsiTheme="minorHAnsi"/>
                <w:sz w:val="22"/>
                <w:szCs w:val="22"/>
              </w:rPr>
            </w:pPr>
            <w:r w:rsidRPr="00D52C48">
              <w:rPr>
                <w:rFonts w:asciiTheme="minorHAnsi" w:hAnsiTheme="minorHAnsi"/>
                <w:sz w:val="22"/>
                <w:szCs w:val="22"/>
              </w:rPr>
              <w:lastRenderedPageBreak/>
              <w:t>Liczb utrzymanych miejsc pracy</w:t>
            </w:r>
          </w:p>
        </w:tc>
        <w:tc>
          <w:tcPr>
            <w:tcW w:w="16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E08BE2" w14:textId="77777777" w:rsidR="00FB5F16" w:rsidRPr="00D52C48" w:rsidRDefault="00FB5F16" w:rsidP="00FB5F16">
            <w:pPr>
              <w:spacing w:before="0" w:line="240" w:lineRule="auto"/>
              <w:jc w:val="center"/>
              <w:rPr>
                <w:rFonts w:asciiTheme="minorHAnsi" w:hAnsiTheme="minorHAnsi" w:cs="ArialNarrow"/>
                <w:szCs w:val="22"/>
              </w:rPr>
            </w:pPr>
            <w:r w:rsidRPr="00D52C48">
              <w:rPr>
                <w:rFonts w:asciiTheme="minorHAnsi" w:hAnsiTheme="minorHAnsi" w:cs="ArialNarrow"/>
                <w:szCs w:val="22"/>
              </w:rPr>
              <w:t>EPC</w:t>
            </w:r>
          </w:p>
          <w:p w14:paraId="2C315D24" w14:textId="1E6302CB" w:rsidR="007B5608" w:rsidRPr="00D52C48" w:rsidRDefault="007B5608" w:rsidP="00FB5F16">
            <w:pPr>
              <w:spacing w:before="0" w:line="240" w:lineRule="auto"/>
              <w:jc w:val="center"/>
              <w:rPr>
                <w:rFonts w:asciiTheme="minorHAnsi" w:hAnsiTheme="minorHAnsi"/>
                <w:szCs w:val="22"/>
              </w:rPr>
            </w:pPr>
            <w:r w:rsidRPr="00D52C48">
              <w:rPr>
                <w:rFonts w:asciiTheme="minorHAnsi" w:hAnsiTheme="minorHAnsi" w:cs="ArialNarrow"/>
                <w:szCs w:val="22"/>
              </w:rPr>
              <w:t>(ekwiwalent pełnego czasu pracy)</w:t>
            </w:r>
          </w:p>
        </w:tc>
        <w:tc>
          <w:tcPr>
            <w:tcW w:w="39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CCEF39C" w14:textId="42C895CC" w:rsidR="00FB5F16" w:rsidRPr="00D52C48" w:rsidRDefault="00FB5F16" w:rsidP="00FB5F16">
            <w:pPr>
              <w:autoSpaceDE w:val="0"/>
              <w:autoSpaceDN w:val="0"/>
              <w:adjustRightInd w:val="0"/>
              <w:spacing w:before="0" w:line="240" w:lineRule="auto"/>
              <w:rPr>
                <w:rFonts w:asciiTheme="minorHAnsi" w:eastAsiaTheme="minorHAnsi" w:hAnsiTheme="minorHAnsi" w:cs="Verdana"/>
                <w:szCs w:val="22"/>
                <w:lang w:eastAsia="en-US"/>
              </w:rPr>
            </w:pPr>
            <w:r w:rsidRPr="00D52C48">
              <w:rPr>
                <w:rFonts w:asciiTheme="minorHAnsi" w:eastAsiaTheme="minorHAnsi" w:hAnsiTheme="minorHAnsi" w:cstheme="minorBidi"/>
                <w:szCs w:val="22"/>
                <w:lang w:eastAsia="en-US"/>
              </w:rPr>
              <w:t>Miejsca pracy utworzone w wyniku realizacji projektu, lecz nie powodują wzrostu zatrudnienia w organizacji</w:t>
            </w:r>
            <w:r w:rsidR="00C746A8">
              <w:rPr>
                <w:rFonts w:asciiTheme="minorHAnsi" w:eastAsiaTheme="minorHAnsi" w:hAnsiTheme="minorHAnsi" w:cstheme="minorBidi"/>
                <w:szCs w:val="22"/>
                <w:lang w:eastAsia="en-US"/>
              </w:rPr>
              <w:t xml:space="preserve">. </w:t>
            </w:r>
            <w:r w:rsidR="00C746A8">
              <w:rPr>
                <w:rFonts w:asciiTheme="minorHAnsi" w:eastAsiaTheme="minorHAnsi" w:hAnsiTheme="minorHAnsi" w:cs="Verdana"/>
                <w:szCs w:val="22"/>
                <w:lang w:eastAsia="en-US"/>
              </w:rPr>
              <w:t>Brak podziału na O/K/M.</w:t>
            </w:r>
          </w:p>
        </w:tc>
        <w:tc>
          <w:tcPr>
            <w:tcW w:w="1803"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2A649718" w14:textId="77777777" w:rsidR="00FB5F16" w:rsidRPr="00D52C48" w:rsidRDefault="00FB5F16" w:rsidP="00FB5F16">
            <w:pPr>
              <w:spacing w:line="240" w:lineRule="auto"/>
              <w:jc w:val="center"/>
              <w:rPr>
                <w:rFonts w:asciiTheme="minorHAnsi" w:hAnsiTheme="minorHAnsi"/>
                <w:szCs w:val="22"/>
              </w:rPr>
            </w:pPr>
            <w:r w:rsidRPr="00D52C48">
              <w:rPr>
                <w:rFonts w:asciiTheme="minorHAnsi" w:hAnsiTheme="minorHAnsi"/>
                <w:szCs w:val="22"/>
              </w:rPr>
              <w:t>Horyzontalny</w:t>
            </w:r>
          </w:p>
        </w:tc>
      </w:tr>
      <w:tr w:rsidR="00FB5F16" w:rsidRPr="00D52C48" w14:paraId="6C442DD5" w14:textId="77777777" w:rsidTr="007B5608">
        <w:trPr>
          <w:cantSplit/>
          <w:trHeight w:val="20"/>
          <w:jc w:val="center"/>
        </w:trPr>
        <w:tc>
          <w:tcPr>
            <w:tcW w:w="0" w:type="auto"/>
            <w:tcBorders>
              <w:top w:val="single" w:sz="6" w:space="0" w:color="000000" w:themeColor="text1"/>
              <w:left w:val="single" w:sz="8" w:space="0" w:color="000000" w:themeColor="text1"/>
              <w:bottom w:val="single" w:sz="8" w:space="0" w:color="000000" w:themeColor="text1"/>
              <w:right w:val="single" w:sz="6" w:space="0" w:color="000000" w:themeColor="text1"/>
            </w:tcBorders>
            <w:shd w:val="clear" w:color="auto" w:fill="auto"/>
          </w:tcPr>
          <w:p w14:paraId="1152F41D" w14:textId="77777777" w:rsidR="00FB5F16" w:rsidRPr="00D52C48" w:rsidRDefault="00FB5F16" w:rsidP="00FB5F16">
            <w:pPr>
              <w:pStyle w:val="Default"/>
              <w:rPr>
                <w:rFonts w:asciiTheme="minorHAnsi" w:hAnsiTheme="minorHAnsi"/>
                <w:sz w:val="22"/>
                <w:szCs w:val="22"/>
              </w:rPr>
            </w:pPr>
            <w:r w:rsidRPr="00D52C48">
              <w:rPr>
                <w:rFonts w:asciiTheme="minorHAnsi" w:hAnsiTheme="minorHAnsi"/>
                <w:sz w:val="22"/>
                <w:szCs w:val="22"/>
              </w:rPr>
              <w:t>Liczba nowo utworzonych miejsc pracy – pozostałe formy</w:t>
            </w:r>
          </w:p>
        </w:tc>
        <w:tc>
          <w:tcPr>
            <w:tcW w:w="1611" w:type="dxa"/>
            <w:tcBorders>
              <w:top w:val="single" w:sz="6" w:space="0" w:color="000000" w:themeColor="text1"/>
              <w:left w:val="single" w:sz="6" w:space="0" w:color="000000" w:themeColor="text1"/>
              <w:bottom w:val="single" w:sz="8" w:space="0" w:color="000000" w:themeColor="text1"/>
              <w:right w:val="single" w:sz="6" w:space="0" w:color="000000" w:themeColor="text1"/>
            </w:tcBorders>
          </w:tcPr>
          <w:p w14:paraId="576EE73C" w14:textId="77777777" w:rsidR="00FB5F16" w:rsidRPr="00D52C48" w:rsidRDefault="00FB5F16" w:rsidP="00FB5F16">
            <w:pPr>
              <w:spacing w:before="0" w:line="240" w:lineRule="auto"/>
              <w:jc w:val="center"/>
              <w:rPr>
                <w:rFonts w:asciiTheme="minorHAnsi" w:hAnsiTheme="minorHAnsi" w:cs="ArialNarrow"/>
                <w:szCs w:val="22"/>
              </w:rPr>
            </w:pPr>
            <w:r w:rsidRPr="00D52C48">
              <w:rPr>
                <w:rFonts w:asciiTheme="minorHAnsi" w:hAnsiTheme="minorHAnsi" w:cs="ArialNarrow"/>
                <w:szCs w:val="22"/>
              </w:rPr>
              <w:t>EPC</w:t>
            </w:r>
          </w:p>
          <w:p w14:paraId="366BBF99" w14:textId="54A9D032" w:rsidR="007B5608" w:rsidRPr="00D52C48" w:rsidRDefault="007B5608" w:rsidP="00FB5F16">
            <w:pPr>
              <w:spacing w:before="0" w:line="240" w:lineRule="auto"/>
              <w:jc w:val="center"/>
              <w:rPr>
                <w:rFonts w:asciiTheme="minorHAnsi" w:hAnsiTheme="minorHAnsi"/>
                <w:szCs w:val="22"/>
              </w:rPr>
            </w:pPr>
            <w:r w:rsidRPr="00D52C48">
              <w:rPr>
                <w:rFonts w:asciiTheme="minorHAnsi" w:hAnsiTheme="minorHAnsi" w:cs="ArialNarrow"/>
                <w:szCs w:val="22"/>
              </w:rPr>
              <w:t>(ekwiwalent pełnego czasu pracy)</w:t>
            </w:r>
          </w:p>
        </w:tc>
        <w:tc>
          <w:tcPr>
            <w:tcW w:w="3921" w:type="dxa"/>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vAlign w:val="center"/>
          </w:tcPr>
          <w:p w14:paraId="5EA219DC" w14:textId="0BDE6FC2" w:rsidR="00FB5F16" w:rsidRPr="00D52C48" w:rsidRDefault="00FB5F16" w:rsidP="00FB5F16">
            <w:pPr>
              <w:autoSpaceDE w:val="0"/>
              <w:autoSpaceDN w:val="0"/>
              <w:adjustRightInd w:val="0"/>
              <w:spacing w:before="0" w:line="240" w:lineRule="auto"/>
              <w:rPr>
                <w:rFonts w:asciiTheme="minorHAnsi" w:eastAsiaTheme="minorHAnsi" w:hAnsiTheme="minorHAnsi" w:cs="Verdana"/>
                <w:szCs w:val="22"/>
                <w:lang w:eastAsia="en-US"/>
              </w:rPr>
            </w:pPr>
            <w:r w:rsidRPr="00D52C48">
              <w:rPr>
                <w:rFonts w:asciiTheme="minorHAnsi" w:eastAsiaTheme="minorHAnsi" w:hAnsiTheme="minorHAnsi" w:cstheme="minorBidi"/>
                <w:iCs/>
                <w:szCs w:val="22"/>
                <w:lang w:eastAsia="en-US"/>
              </w:rPr>
              <w:t>Pozostałe formy</w:t>
            </w:r>
            <w:r w:rsidRPr="00D52C48">
              <w:rPr>
                <w:rFonts w:asciiTheme="minorHAnsi" w:eastAsiaTheme="minorHAnsi" w:hAnsiTheme="minorHAnsi" w:cs="Verdana"/>
                <w:szCs w:val="22"/>
                <w:lang w:eastAsia="en-US"/>
              </w:rPr>
              <w:t>, np. umowy cywilnoprawne, miejsca pracy do obsługi projektu, nietrwałe miejsca pracy</w:t>
            </w:r>
            <w:r w:rsidR="00C746A8">
              <w:rPr>
                <w:rFonts w:asciiTheme="minorHAnsi" w:eastAsiaTheme="minorHAnsi" w:hAnsiTheme="minorHAnsi" w:cs="Verdana"/>
                <w:szCs w:val="22"/>
                <w:lang w:eastAsia="en-US"/>
              </w:rPr>
              <w:t>. Brak podziału na O/K/M.</w:t>
            </w:r>
          </w:p>
        </w:tc>
        <w:tc>
          <w:tcPr>
            <w:tcW w:w="1803" w:type="dxa"/>
            <w:tcBorders>
              <w:top w:val="single" w:sz="6" w:space="0" w:color="000000" w:themeColor="text1"/>
              <w:left w:val="single" w:sz="6" w:space="0" w:color="000000" w:themeColor="text1"/>
              <w:bottom w:val="single" w:sz="8" w:space="0" w:color="000000" w:themeColor="text1"/>
              <w:right w:val="single" w:sz="8" w:space="0" w:color="000000" w:themeColor="text1"/>
            </w:tcBorders>
          </w:tcPr>
          <w:p w14:paraId="0BC6FF7E" w14:textId="77777777" w:rsidR="00FB5F16" w:rsidRPr="00D52C48" w:rsidRDefault="00FB5F16" w:rsidP="00FB5F16">
            <w:pPr>
              <w:spacing w:line="240" w:lineRule="auto"/>
              <w:jc w:val="center"/>
              <w:rPr>
                <w:rFonts w:asciiTheme="minorHAnsi" w:hAnsiTheme="minorHAnsi"/>
                <w:szCs w:val="22"/>
              </w:rPr>
            </w:pPr>
            <w:r w:rsidRPr="00D52C48">
              <w:rPr>
                <w:rFonts w:asciiTheme="minorHAnsi" w:hAnsiTheme="minorHAnsi"/>
                <w:szCs w:val="22"/>
              </w:rPr>
              <w:t>Horyzontalny</w:t>
            </w:r>
          </w:p>
        </w:tc>
      </w:tr>
    </w:tbl>
    <w:p w14:paraId="0E9F32E7" w14:textId="77777777" w:rsidR="00B87C4A" w:rsidRPr="00D52C48" w:rsidRDefault="00B87C4A" w:rsidP="00DF6D97">
      <w:pPr>
        <w:autoSpaceDE w:val="0"/>
        <w:autoSpaceDN w:val="0"/>
        <w:adjustRightInd w:val="0"/>
        <w:spacing w:before="120" w:after="120" w:line="240" w:lineRule="auto"/>
        <w:jc w:val="both"/>
        <w:rPr>
          <w:rFonts w:asciiTheme="minorHAnsi" w:eastAsiaTheme="minorHAnsi" w:hAnsiTheme="minorHAnsi" w:cs="Arial"/>
          <w:szCs w:val="22"/>
          <w:lang w:eastAsia="en-US"/>
        </w:rPr>
      </w:pPr>
    </w:p>
    <w:p w14:paraId="0C707866" w14:textId="77777777" w:rsidR="00DF6D97" w:rsidRPr="00D52C48" w:rsidRDefault="00DF6D97" w:rsidP="00DF6D97">
      <w:pPr>
        <w:autoSpaceDE w:val="0"/>
        <w:autoSpaceDN w:val="0"/>
        <w:adjustRightInd w:val="0"/>
        <w:spacing w:before="120" w:after="120" w:line="240" w:lineRule="auto"/>
        <w:jc w:val="both"/>
        <w:rPr>
          <w:rFonts w:asciiTheme="minorHAnsi" w:eastAsiaTheme="minorHAnsi" w:hAnsiTheme="minorHAnsi" w:cs="Arial"/>
          <w:szCs w:val="22"/>
          <w:lang w:eastAsia="en-US"/>
        </w:rPr>
      </w:pPr>
      <w:r w:rsidRPr="00D52C48">
        <w:rPr>
          <w:rFonts w:asciiTheme="minorHAnsi" w:eastAsiaTheme="minorHAnsi" w:hAnsiTheme="minorHAnsi" w:cs="Arial"/>
          <w:szCs w:val="22"/>
          <w:lang w:eastAsia="en-US"/>
        </w:rPr>
        <w:t xml:space="preserve">W ramach wniosku o dofinansowanie Wnioskodawca ma obowiązek uwzględnić </w:t>
      </w:r>
      <w:r w:rsidRPr="00D52C48">
        <w:rPr>
          <w:rFonts w:asciiTheme="minorHAnsi" w:eastAsiaTheme="minorHAnsi" w:hAnsiTheme="minorHAnsi" w:cs="Arial"/>
          <w:b/>
          <w:szCs w:val="22"/>
          <w:lang w:eastAsia="en-US"/>
        </w:rPr>
        <w:t>wszystkie adekwatne</w:t>
      </w:r>
      <w:r w:rsidRPr="00D52C48">
        <w:rPr>
          <w:rFonts w:asciiTheme="minorHAnsi" w:eastAsiaTheme="minorHAnsi" w:hAnsiTheme="minorHAnsi" w:cs="Arial"/>
          <w:szCs w:val="22"/>
          <w:lang w:eastAsia="en-US"/>
        </w:rPr>
        <w:t xml:space="preserve"> wskaźniki produktu oraz rezultatu bezpośredniego z listy przedstawionej  w powyższych tabelach, odpowiadające celowi projektu. </w:t>
      </w:r>
      <w:r w:rsidRPr="00D52C48">
        <w:rPr>
          <w:rFonts w:asciiTheme="minorHAnsi" w:hAnsiTheme="minorHAnsi"/>
          <w:szCs w:val="22"/>
        </w:rPr>
        <w:t>Dodatkowo w ramach wniosku o dofinansowanie Wnioskodawca może określić inne, dodatkowe wskaźniki specyficzne dla danego projektu, o ile będzie to niezbędne dla prawidłowej realizacji projektu (tzw. wskaźniki projektowe).</w:t>
      </w:r>
    </w:p>
    <w:p w14:paraId="51C7A889" w14:textId="77777777" w:rsidR="00DF6D97" w:rsidRPr="00D52C48" w:rsidRDefault="00DF6D97" w:rsidP="00DF6D97">
      <w:pPr>
        <w:pStyle w:val="Default"/>
        <w:jc w:val="both"/>
        <w:rPr>
          <w:rFonts w:asciiTheme="minorHAnsi" w:eastAsiaTheme="minorHAnsi" w:hAnsiTheme="minorHAnsi" w:cstheme="minorBidi"/>
          <w:sz w:val="22"/>
          <w:szCs w:val="22"/>
          <w:lang w:eastAsia="en-US"/>
        </w:rPr>
      </w:pPr>
      <w:r w:rsidRPr="00D52C48">
        <w:rPr>
          <w:rFonts w:asciiTheme="minorHAnsi" w:eastAsiaTheme="minorHAnsi" w:hAnsiTheme="minorHAnsi" w:cstheme="minorBidi"/>
          <w:sz w:val="22"/>
          <w:szCs w:val="22"/>
          <w:lang w:eastAsia="en-US"/>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14:paraId="7399748C" w14:textId="77777777" w:rsidR="00DF6D97" w:rsidRPr="00D52C48" w:rsidRDefault="00DF6D97" w:rsidP="00DF6D97">
      <w:pPr>
        <w:spacing w:line="240" w:lineRule="auto"/>
        <w:jc w:val="both"/>
        <w:rPr>
          <w:rFonts w:asciiTheme="minorHAnsi" w:hAnsiTheme="minorHAnsi" w:cs="Arial"/>
          <w:b/>
          <w:szCs w:val="22"/>
          <w:u w:val="single"/>
        </w:rPr>
      </w:pPr>
      <w:r w:rsidRPr="00D52C48">
        <w:rPr>
          <w:rFonts w:asciiTheme="minorHAnsi" w:hAnsiTheme="minorHAnsi" w:cs="Arial"/>
          <w:b/>
          <w:szCs w:val="22"/>
          <w:u w:val="single"/>
        </w:rPr>
        <w:t>Wartość bazowa (tzn. wartość w momencie rozpoczęcia realizacji projektu) w przypadku każdego wskaźnika powinna być wykazana na poziomie „0”.</w:t>
      </w:r>
    </w:p>
    <w:p w14:paraId="61190476" w14:textId="77777777" w:rsidR="00DF6D97" w:rsidRPr="00D52C48" w:rsidRDefault="00DF6D97" w:rsidP="00DF6D97">
      <w:pPr>
        <w:spacing w:line="240" w:lineRule="auto"/>
        <w:jc w:val="both"/>
        <w:rPr>
          <w:rFonts w:asciiTheme="minorHAnsi" w:hAnsiTheme="minorHAnsi" w:cs="Arial"/>
          <w:b/>
          <w:szCs w:val="22"/>
          <w:u w:val="single"/>
        </w:rPr>
      </w:pPr>
      <w:r w:rsidRPr="00D52C48">
        <w:rPr>
          <w:rFonts w:asciiTheme="minorHAnsi" w:hAnsiTheme="minorHAnsi" w:cs="Arial"/>
          <w:b/>
          <w:szCs w:val="22"/>
          <w:u w:val="single"/>
        </w:rPr>
        <w:t xml:space="preserve">O ile w umowie o dofinansowanie projektu nie wskazano inaczej, efekt wsparcia na poziomie projektu występuje: </w:t>
      </w:r>
    </w:p>
    <w:p w14:paraId="17CD0866" w14:textId="77777777" w:rsidR="00DF6D97" w:rsidRPr="00D52C48" w:rsidRDefault="00DF6D97" w:rsidP="00DF6D97">
      <w:pPr>
        <w:spacing w:line="240" w:lineRule="auto"/>
        <w:jc w:val="both"/>
        <w:rPr>
          <w:rFonts w:asciiTheme="minorHAnsi" w:hAnsiTheme="minorHAnsi" w:cs="Arial"/>
          <w:b/>
          <w:szCs w:val="22"/>
          <w:u w:val="single"/>
        </w:rPr>
      </w:pPr>
      <w:r w:rsidRPr="00D52C48">
        <w:rPr>
          <w:rFonts w:asciiTheme="minorHAnsi" w:hAnsiTheme="minorHAnsi" w:cs="Arial"/>
          <w:b/>
          <w:szCs w:val="22"/>
          <w:u w:val="single"/>
        </w:rPr>
        <w:t xml:space="preserve">a) w przypadku wskaźników produktu – w okresie od podpisania umowy o dofinansowanie, przy czym osiągnięte wartości powinny zostać wykazane najpóźniej we wniosku o płatność końcową, </w:t>
      </w:r>
    </w:p>
    <w:p w14:paraId="2FC7E941" w14:textId="77777777" w:rsidR="00DF6D97" w:rsidRPr="00D52C48" w:rsidRDefault="00DF6D97" w:rsidP="00DF6D97">
      <w:pPr>
        <w:spacing w:line="240" w:lineRule="auto"/>
        <w:jc w:val="both"/>
        <w:rPr>
          <w:rFonts w:asciiTheme="minorHAnsi" w:hAnsiTheme="minorHAnsi" w:cs="Arial"/>
          <w:b/>
          <w:szCs w:val="22"/>
          <w:u w:val="single"/>
        </w:rPr>
      </w:pPr>
      <w:r w:rsidRPr="00D52C48">
        <w:rPr>
          <w:rFonts w:asciiTheme="minorHAnsi" w:hAnsiTheme="minorHAnsi" w:cs="Arial"/>
          <w:b/>
          <w:szCs w:val="22"/>
          <w:u w:val="single"/>
        </w:rPr>
        <w:t xml:space="preserve">b) w przypadku wskaźników rezultatu określonych na poziomie projektu: </w:t>
      </w:r>
    </w:p>
    <w:p w14:paraId="234C1EEF" w14:textId="77777777" w:rsidR="00DF6D97" w:rsidRPr="00D52C48" w:rsidRDefault="00DF6D97" w:rsidP="00DF6D97">
      <w:pPr>
        <w:pStyle w:val="Akapitzlist"/>
        <w:numPr>
          <w:ilvl w:val="0"/>
          <w:numId w:val="6"/>
        </w:numPr>
        <w:spacing w:before="0" w:after="200" w:line="240" w:lineRule="auto"/>
        <w:ind w:left="1080"/>
        <w:contextualSpacing/>
        <w:jc w:val="both"/>
        <w:rPr>
          <w:rFonts w:asciiTheme="minorHAnsi" w:hAnsiTheme="minorHAnsi" w:cs="Arial"/>
          <w:b/>
          <w:szCs w:val="22"/>
          <w:u w:val="single"/>
        </w:rPr>
      </w:pPr>
      <w:r w:rsidRPr="00D52C48">
        <w:rPr>
          <w:rFonts w:asciiTheme="minorHAnsi" w:hAnsiTheme="minorHAnsi" w:cs="Arial"/>
          <w:b/>
          <w:szCs w:val="22"/>
          <w:u w:val="single"/>
        </w:rPr>
        <w:t>co do zasady – w okresie 12 miesięcy od zakończenia okresu realizacji projektu określonego w umowie o dofinansowaniu projektu lub, o ile wynika to ze specyfiki projektu, od uruchomienia przedsięwzięcia, przy czym osiągnięte wartości wykazywane są w korekcie do wniosku o płatność końcową.</w:t>
      </w:r>
    </w:p>
    <w:p w14:paraId="3A4B72C4" w14:textId="77777777" w:rsidR="0032765F" w:rsidRPr="00911273" w:rsidRDefault="0032765F" w:rsidP="007650AC">
      <w:pPr>
        <w:spacing w:line="240" w:lineRule="auto"/>
        <w:rPr>
          <w:szCs w:val="22"/>
        </w:rPr>
      </w:pPr>
    </w:p>
    <w:sectPr w:rsidR="0032765F" w:rsidRPr="00911273" w:rsidSect="00D721EE">
      <w:headerReference w:type="default" r:id="rId8"/>
      <w:footerReference w:type="default" r:id="rId9"/>
      <w:pgSz w:w="11906" w:h="16838"/>
      <w:pgMar w:top="1417" w:right="1417" w:bottom="1417" w:left="1417"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C2DC3" w14:textId="77777777" w:rsidR="008E26DA" w:rsidRDefault="008E26DA" w:rsidP="008C495E">
      <w:pPr>
        <w:spacing w:before="0" w:line="240" w:lineRule="auto"/>
      </w:pPr>
      <w:r>
        <w:separator/>
      </w:r>
    </w:p>
  </w:endnote>
  <w:endnote w:type="continuationSeparator" w:id="0">
    <w:p w14:paraId="5BAF7D9A" w14:textId="77777777" w:rsidR="008E26DA" w:rsidRDefault="008E26DA" w:rsidP="008C49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Narrow">
    <w:altName w:val="Arial"/>
    <w:charset w:val="00"/>
    <w:family w:val="swiss"/>
    <w:pitch w:val="default"/>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rPr>
      <w:id w:val="-1871597478"/>
      <w:docPartObj>
        <w:docPartGallery w:val="Page Numbers (Bottom of Page)"/>
        <w:docPartUnique/>
      </w:docPartObj>
    </w:sdtPr>
    <w:sdtEndPr/>
    <w:sdtContent>
      <w:sdt>
        <w:sdtPr>
          <w:rPr>
            <w:rFonts w:asciiTheme="minorHAnsi" w:hAnsiTheme="minorHAnsi"/>
            <w:sz w:val="20"/>
          </w:rPr>
          <w:id w:val="-1669238322"/>
          <w:docPartObj>
            <w:docPartGallery w:val="Page Numbers (Top of Page)"/>
            <w:docPartUnique/>
          </w:docPartObj>
        </w:sdtPr>
        <w:sdtEndPr/>
        <w:sdtContent>
          <w:p w14:paraId="13A83B35" w14:textId="77777777" w:rsidR="00D721EE" w:rsidRPr="00D721EE" w:rsidRDefault="00D721EE">
            <w:pPr>
              <w:pStyle w:val="Stopka"/>
              <w:jc w:val="center"/>
              <w:rPr>
                <w:rFonts w:asciiTheme="minorHAnsi" w:hAnsiTheme="minorHAnsi"/>
                <w:sz w:val="20"/>
              </w:rPr>
            </w:pPr>
            <w:r w:rsidRPr="00D721EE">
              <w:rPr>
                <w:rFonts w:asciiTheme="minorHAnsi" w:hAnsiTheme="minorHAnsi"/>
                <w:sz w:val="20"/>
              </w:rPr>
              <w:t xml:space="preserve">Strona </w:t>
            </w:r>
            <w:r w:rsidR="00FE7037" w:rsidRPr="00D721EE">
              <w:rPr>
                <w:rFonts w:asciiTheme="minorHAnsi" w:hAnsiTheme="minorHAnsi"/>
                <w:b/>
                <w:bCs/>
                <w:sz w:val="20"/>
              </w:rPr>
              <w:fldChar w:fldCharType="begin"/>
            </w:r>
            <w:r w:rsidRPr="00D721EE">
              <w:rPr>
                <w:rFonts w:asciiTheme="minorHAnsi" w:hAnsiTheme="minorHAnsi"/>
                <w:b/>
                <w:bCs/>
                <w:sz w:val="20"/>
              </w:rPr>
              <w:instrText>PAGE</w:instrText>
            </w:r>
            <w:r w:rsidR="00FE7037" w:rsidRPr="00D721EE">
              <w:rPr>
                <w:rFonts w:asciiTheme="minorHAnsi" w:hAnsiTheme="minorHAnsi"/>
                <w:b/>
                <w:bCs/>
                <w:sz w:val="20"/>
              </w:rPr>
              <w:fldChar w:fldCharType="separate"/>
            </w:r>
            <w:r w:rsidR="00E92C52">
              <w:rPr>
                <w:rFonts w:asciiTheme="minorHAnsi" w:hAnsiTheme="minorHAnsi"/>
                <w:b/>
                <w:bCs/>
                <w:noProof/>
                <w:sz w:val="20"/>
              </w:rPr>
              <w:t>5</w:t>
            </w:r>
            <w:r w:rsidR="00FE7037" w:rsidRPr="00D721EE">
              <w:rPr>
                <w:rFonts w:asciiTheme="minorHAnsi" w:hAnsiTheme="minorHAnsi"/>
                <w:b/>
                <w:bCs/>
                <w:sz w:val="20"/>
              </w:rPr>
              <w:fldChar w:fldCharType="end"/>
            </w:r>
            <w:r w:rsidRPr="00D721EE">
              <w:rPr>
                <w:rFonts w:asciiTheme="minorHAnsi" w:hAnsiTheme="minorHAnsi"/>
                <w:sz w:val="20"/>
              </w:rPr>
              <w:t xml:space="preserve"> z </w:t>
            </w:r>
            <w:r w:rsidR="00FE7037" w:rsidRPr="00D721EE">
              <w:rPr>
                <w:rFonts w:asciiTheme="minorHAnsi" w:hAnsiTheme="minorHAnsi"/>
                <w:b/>
                <w:bCs/>
                <w:sz w:val="20"/>
              </w:rPr>
              <w:fldChar w:fldCharType="begin"/>
            </w:r>
            <w:r w:rsidRPr="00D721EE">
              <w:rPr>
                <w:rFonts w:asciiTheme="minorHAnsi" w:hAnsiTheme="minorHAnsi"/>
                <w:b/>
                <w:bCs/>
                <w:sz w:val="20"/>
              </w:rPr>
              <w:instrText>NUMPAGES</w:instrText>
            </w:r>
            <w:r w:rsidR="00FE7037" w:rsidRPr="00D721EE">
              <w:rPr>
                <w:rFonts w:asciiTheme="minorHAnsi" w:hAnsiTheme="minorHAnsi"/>
                <w:b/>
                <w:bCs/>
                <w:sz w:val="20"/>
              </w:rPr>
              <w:fldChar w:fldCharType="separate"/>
            </w:r>
            <w:r w:rsidR="00E92C52">
              <w:rPr>
                <w:rFonts w:asciiTheme="minorHAnsi" w:hAnsiTheme="minorHAnsi"/>
                <w:b/>
                <w:bCs/>
                <w:noProof/>
                <w:sz w:val="20"/>
              </w:rPr>
              <w:t>9</w:t>
            </w:r>
            <w:r w:rsidR="00FE7037" w:rsidRPr="00D721EE">
              <w:rPr>
                <w:rFonts w:asciiTheme="minorHAnsi" w:hAnsiTheme="minorHAnsi"/>
                <w:b/>
                <w:bCs/>
                <w:sz w:val="20"/>
              </w:rPr>
              <w:fldChar w:fldCharType="end"/>
            </w:r>
          </w:p>
        </w:sdtContent>
      </w:sdt>
    </w:sdtContent>
  </w:sdt>
  <w:p w14:paraId="37F4232A" w14:textId="77777777" w:rsidR="00D721EE" w:rsidRPr="00D721EE" w:rsidRDefault="00D721EE">
    <w:pPr>
      <w:pStyle w:val="Stopka"/>
      <w:rPr>
        <w:rFonts w:asciiTheme="minorHAnsi" w:hAnsi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A96E5" w14:textId="77777777" w:rsidR="008E26DA" w:rsidRDefault="008E26DA" w:rsidP="008C495E">
      <w:pPr>
        <w:spacing w:before="0" w:line="240" w:lineRule="auto"/>
      </w:pPr>
      <w:r>
        <w:separator/>
      </w:r>
    </w:p>
  </w:footnote>
  <w:footnote w:type="continuationSeparator" w:id="0">
    <w:p w14:paraId="54952C4F" w14:textId="77777777" w:rsidR="008E26DA" w:rsidRDefault="008E26DA" w:rsidP="008C495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E1E32" w14:textId="77777777" w:rsidR="00C0278F" w:rsidRPr="00C0278F" w:rsidRDefault="00C0278F" w:rsidP="00FA0CF9">
    <w:pPr>
      <w:pStyle w:val="Nagwek"/>
      <w:jc w:val="right"/>
      <w:rPr>
        <w:rFonts w:asciiTheme="minorHAnsi" w:hAnsiTheme="minorHAnsi"/>
        <w:sz w:val="20"/>
      </w:rPr>
    </w:pPr>
    <w:r>
      <w:tab/>
    </w:r>
    <w:r w:rsidRPr="00C0278F">
      <w:rPr>
        <w:rFonts w:asciiTheme="minorHAnsi" w:hAnsiTheme="minorHAnsi"/>
        <w:sz w:val="20"/>
      </w:rPr>
      <w:t xml:space="preserve">Załącznik  nr </w:t>
    </w:r>
    <w:r w:rsidR="00246A66">
      <w:rPr>
        <w:rFonts w:asciiTheme="minorHAnsi" w:hAnsiTheme="minorHAnsi"/>
        <w:sz w:val="20"/>
      </w:rPr>
      <w:t>1</w:t>
    </w:r>
    <w:r w:rsidR="007704B3">
      <w:rPr>
        <w:rFonts w:asciiTheme="minorHAnsi" w:hAnsiTheme="minorHAnsi"/>
        <w:sz w:val="20"/>
      </w:rPr>
      <w:t xml:space="preserve"> do </w:t>
    </w:r>
    <w:r w:rsidR="00246A66">
      <w:rPr>
        <w:rFonts w:asciiTheme="minorHAnsi" w:hAnsiTheme="minorHAnsi"/>
        <w:sz w:val="20"/>
      </w:rPr>
      <w:t>Instrukcji wypełniania wniosku o dofinansowanie</w:t>
    </w:r>
  </w:p>
  <w:p w14:paraId="175E0AA9" w14:textId="7BECC1C7" w:rsidR="00FA0CF9" w:rsidRDefault="00FA0CF9" w:rsidP="00FA0CF9">
    <w:pPr>
      <w:tabs>
        <w:tab w:val="left" w:pos="6379"/>
      </w:tabs>
      <w:spacing w:before="0" w:line="240" w:lineRule="auto"/>
      <w:jc w:val="center"/>
      <w:rPr>
        <w:rFonts w:ascii="Calibri" w:hAnsi="Calibri" w:cs="Arial"/>
        <w:sz w:val="20"/>
      </w:rPr>
    </w:pPr>
    <w:r>
      <w:rPr>
        <w:rFonts w:ascii="Calibri" w:hAnsi="Calibri" w:cs="Arial"/>
        <w:sz w:val="20"/>
      </w:rPr>
      <w:t xml:space="preserve">                                                                                                                                               </w:t>
    </w:r>
    <w:r w:rsidR="00E92C52">
      <w:rPr>
        <w:rFonts w:ascii="Calibri" w:hAnsi="Calibri" w:cs="Arial"/>
        <w:sz w:val="20"/>
      </w:rPr>
      <w:t>RPDS.03.03.02</w:t>
    </w:r>
    <w:r w:rsidRPr="00FA0CF9">
      <w:rPr>
        <w:rFonts w:ascii="Calibri" w:hAnsi="Calibri" w:cs="Arial"/>
        <w:sz w:val="20"/>
      </w:rPr>
      <w:t>-IP.01-02-3</w:t>
    </w:r>
    <w:r w:rsidR="00E92C52">
      <w:rPr>
        <w:rFonts w:ascii="Calibri" w:hAnsi="Calibri" w:cs="Arial"/>
        <w:sz w:val="20"/>
      </w:rPr>
      <w:t>32</w:t>
    </w:r>
    <w:r w:rsidRPr="00FA0CF9">
      <w:rPr>
        <w:rFonts w:ascii="Calibri" w:hAnsi="Calibri" w:cs="Arial"/>
        <w:sz w:val="20"/>
      </w:rPr>
      <w:t xml:space="preserve">/18 </w:t>
    </w:r>
  </w:p>
  <w:p w14:paraId="42AD516F" w14:textId="77777777" w:rsidR="00C0278F" w:rsidRPr="00CF240C" w:rsidRDefault="00C0278F" w:rsidP="00D442FF">
    <w:pPr>
      <w:pStyle w:val="Nagwek"/>
      <w:tabs>
        <w:tab w:val="clear" w:pos="4536"/>
        <w:tab w:val="clear" w:pos="9072"/>
        <w:tab w:val="left" w:pos="6720"/>
      </w:tabs>
      <w:jc w:val="right"/>
      <w:rPr>
        <w:rFonts w:asciiTheme="minorHAnsi" w:hAnsiTheme="minorHAns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E3716"/>
    <w:multiLevelType w:val="hybridMultilevel"/>
    <w:tmpl w:val="125491A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AB91192"/>
    <w:multiLevelType w:val="multilevel"/>
    <w:tmpl w:val="23781834"/>
    <w:lvl w:ilvl="0">
      <w:start w:val="1"/>
      <w:numFmt w:val="decimal"/>
      <w:lvlText w:val="%1."/>
      <w:lvlJc w:val="left"/>
      <w:pPr>
        <w:ind w:left="360" w:hanging="360"/>
      </w:pPr>
      <w:rPr>
        <w:rFonts w:ascii="Calibri" w:hAnsi="Calibri" w:cs="Times New Roman" w:hint="default"/>
        <w:b/>
        <w:i w:val="0"/>
        <w:sz w:val="24"/>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CC7735"/>
    <w:multiLevelType w:val="hybridMultilevel"/>
    <w:tmpl w:val="1B8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9238A8"/>
    <w:multiLevelType w:val="hybridMultilevel"/>
    <w:tmpl w:val="80C0DE4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65419B7"/>
    <w:multiLevelType w:val="hybridMultilevel"/>
    <w:tmpl w:val="35F6A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31FB1A21"/>
    <w:multiLevelType w:val="hybridMultilevel"/>
    <w:tmpl w:val="78B2AF7E"/>
    <w:lvl w:ilvl="0" w:tplc="0EC8615E">
      <w:start w:val="1"/>
      <w:numFmt w:val="decimal"/>
      <w:lvlText w:val="%1)"/>
      <w:lvlJc w:val="left"/>
      <w:pPr>
        <w:ind w:left="360" w:hanging="360"/>
      </w:pPr>
      <w:rPr>
        <w:rFonts w:ascii="Calibri" w:hAnsi="Calibri" w:cs="Times New Roman"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537D190F"/>
    <w:multiLevelType w:val="hybridMultilevel"/>
    <w:tmpl w:val="E9DA0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4E6257"/>
    <w:multiLevelType w:val="hybridMultilevel"/>
    <w:tmpl w:val="3E6ADC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B61ACD"/>
    <w:multiLevelType w:val="hybridMultilevel"/>
    <w:tmpl w:val="9E3836FE"/>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9"/>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8"/>
  </w:num>
  <w:num w:numId="8">
    <w:abstractNumId w:val="10"/>
  </w:num>
  <w:num w:numId="9">
    <w:abstractNumId w:val="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95E"/>
    <w:rsid w:val="000167BD"/>
    <w:rsid w:val="00026AB3"/>
    <w:rsid w:val="00027BD7"/>
    <w:rsid w:val="0006794A"/>
    <w:rsid w:val="00094C3F"/>
    <w:rsid w:val="000C57E0"/>
    <w:rsid w:val="000D2E5C"/>
    <w:rsid w:val="000F5C98"/>
    <w:rsid w:val="00114550"/>
    <w:rsid w:val="0011515E"/>
    <w:rsid w:val="00141571"/>
    <w:rsid w:val="00151BAD"/>
    <w:rsid w:val="0015486C"/>
    <w:rsid w:val="0015550B"/>
    <w:rsid w:val="00155D4E"/>
    <w:rsid w:val="0017262A"/>
    <w:rsid w:val="0019058D"/>
    <w:rsid w:val="00191605"/>
    <w:rsid w:val="001932A6"/>
    <w:rsid w:val="001B7345"/>
    <w:rsid w:val="001C4F9E"/>
    <w:rsid w:val="001C7885"/>
    <w:rsid w:val="0020180C"/>
    <w:rsid w:val="002320F4"/>
    <w:rsid w:val="00243817"/>
    <w:rsid w:val="00246A66"/>
    <w:rsid w:val="00253FAA"/>
    <w:rsid w:val="0026298C"/>
    <w:rsid w:val="002835B6"/>
    <w:rsid w:val="002972E4"/>
    <w:rsid w:val="002A36BE"/>
    <w:rsid w:val="002A537C"/>
    <w:rsid w:val="002D5507"/>
    <w:rsid w:val="002E6E1E"/>
    <w:rsid w:val="002F6273"/>
    <w:rsid w:val="00304DDB"/>
    <w:rsid w:val="0032304F"/>
    <w:rsid w:val="00323264"/>
    <w:rsid w:val="0032765F"/>
    <w:rsid w:val="00327D85"/>
    <w:rsid w:val="00332CDB"/>
    <w:rsid w:val="00340A6B"/>
    <w:rsid w:val="00346FD6"/>
    <w:rsid w:val="00363BBA"/>
    <w:rsid w:val="00370466"/>
    <w:rsid w:val="003C55C7"/>
    <w:rsid w:val="003D2C3D"/>
    <w:rsid w:val="003D3BC5"/>
    <w:rsid w:val="003D5C89"/>
    <w:rsid w:val="003E7930"/>
    <w:rsid w:val="003F1889"/>
    <w:rsid w:val="004059B1"/>
    <w:rsid w:val="0041446A"/>
    <w:rsid w:val="00421C29"/>
    <w:rsid w:val="0042602E"/>
    <w:rsid w:val="00426168"/>
    <w:rsid w:val="00433A72"/>
    <w:rsid w:val="0046263E"/>
    <w:rsid w:val="00471B0C"/>
    <w:rsid w:val="00475728"/>
    <w:rsid w:val="00476947"/>
    <w:rsid w:val="004A4593"/>
    <w:rsid w:val="004B303A"/>
    <w:rsid w:val="004F2D8E"/>
    <w:rsid w:val="004F6746"/>
    <w:rsid w:val="005038EA"/>
    <w:rsid w:val="00504998"/>
    <w:rsid w:val="00516B06"/>
    <w:rsid w:val="00522930"/>
    <w:rsid w:val="0052529C"/>
    <w:rsid w:val="00530BAE"/>
    <w:rsid w:val="00535E8F"/>
    <w:rsid w:val="00555321"/>
    <w:rsid w:val="00562F10"/>
    <w:rsid w:val="005657D8"/>
    <w:rsid w:val="005E16D7"/>
    <w:rsid w:val="005F02A1"/>
    <w:rsid w:val="005F0E5F"/>
    <w:rsid w:val="0060140B"/>
    <w:rsid w:val="0061342E"/>
    <w:rsid w:val="00620A45"/>
    <w:rsid w:val="00630C8E"/>
    <w:rsid w:val="00635DB0"/>
    <w:rsid w:val="00647E9F"/>
    <w:rsid w:val="006647E2"/>
    <w:rsid w:val="006A00D7"/>
    <w:rsid w:val="006A049D"/>
    <w:rsid w:val="006A09F0"/>
    <w:rsid w:val="006C652C"/>
    <w:rsid w:val="00701E65"/>
    <w:rsid w:val="00704B1F"/>
    <w:rsid w:val="00704D10"/>
    <w:rsid w:val="0072791E"/>
    <w:rsid w:val="007300ED"/>
    <w:rsid w:val="00741B27"/>
    <w:rsid w:val="007650AC"/>
    <w:rsid w:val="00766AC5"/>
    <w:rsid w:val="007704B3"/>
    <w:rsid w:val="007707F9"/>
    <w:rsid w:val="007801FE"/>
    <w:rsid w:val="00781388"/>
    <w:rsid w:val="00787387"/>
    <w:rsid w:val="007B5608"/>
    <w:rsid w:val="007B7577"/>
    <w:rsid w:val="007D1CF1"/>
    <w:rsid w:val="007D7DE7"/>
    <w:rsid w:val="007E025A"/>
    <w:rsid w:val="007E18A9"/>
    <w:rsid w:val="007E6D53"/>
    <w:rsid w:val="007E73B8"/>
    <w:rsid w:val="00801546"/>
    <w:rsid w:val="0083665B"/>
    <w:rsid w:val="00855888"/>
    <w:rsid w:val="00883644"/>
    <w:rsid w:val="008869B8"/>
    <w:rsid w:val="00890B1A"/>
    <w:rsid w:val="008A09D1"/>
    <w:rsid w:val="008A195C"/>
    <w:rsid w:val="008A5B45"/>
    <w:rsid w:val="008B21E1"/>
    <w:rsid w:val="008B2B8D"/>
    <w:rsid w:val="008B73B1"/>
    <w:rsid w:val="008C0973"/>
    <w:rsid w:val="008C2482"/>
    <w:rsid w:val="008C495E"/>
    <w:rsid w:val="008D01B4"/>
    <w:rsid w:val="008E26DA"/>
    <w:rsid w:val="008E3F0D"/>
    <w:rsid w:val="008F6F43"/>
    <w:rsid w:val="009024D3"/>
    <w:rsid w:val="00902C07"/>
    <w:rsid w:val="00904EC5"/>
    <w:rsid w:val="00911273"/>
    <w:rsid w:val="00934566"/>
    <w:rsid w:val="009456DB"/>
    <w:rsid w:val="00963759"/>
    <w:rsid w:val="00970A9F"/>
    <w:rsid w:val="009A5838"/>
    <w:rsid w:val="009D04DE"/>
    <w:rsid w:val="009D3C56"/>
    <w:rsid w:val="009E5D68"/>
    <w:rsid w:val="009E65D0"/>
    <w:rsid w:val="00A214C1"/>
    <w:rsid w:val="00A22869"/>
    <w:rsid w:val="00A409C8"/>
    <w:rsid w:val="00AB2D7A"/>
    <w:rsid w:val="00AD2437"/>
    <w:rsid w:val="00AF7C30"/>
    <w:rsid w:val="00B02A77"/>
    <w:rsid w:val="00B204DD"/>
    <w:rsid w:val="00B235B0"/>
    <w:rsid w:val="00B34C2E"/>
    <w:rsid w:val="00B62CD5"/>
    <w:rsid w:val="00B65B2E"/>
    <w:rsid w:val="00B70020"/>
    <w:rsid w:val="00B70A62"/>
    <w:rsid w:val="00B80838"/>
    <w:rsid w:val="00B83A65"/>
    <w:rsid w:val="00B840A9"/>
    <w:rsid w:val="00B87C4A"/>
    <w:rsid w:val="00B92DA6"/>
    <w:rsid w:val="00BA1B89"/>
    <w:rsid w:val="00BC03CE"/>
    <w:rsid w:val="00BC0A96"/>
    <w:rsid w:val="00BF3553"/>
    <w:rsid w:val="00C0278F"/>
    <w:rsid w:val="00C063C7"/>
    <w:rsid w:val="00C10532"/>
    <w:rsid w:val="00C3099E"/>
    <w:rsid w:val="00C31711"/>
    <w:rsid w:val="00C33C8B"/>
    <w:rsid w:val="00C40E8D"/>
    <w:rsid w:val="00C71210"/>
    <w:rsid w:val="00C746A8"/>
    <w:rsid w:val="00C8517F"/>
    <w:rsid w:val="00C90F5E"/>
    <w:rsid w:val="00C97EA0"/>
    <w:rsid w:val="00CC5D9D"/>
    <w:rsid w:val="00CC7758"/>
    <w:rsid w:val="00CE4F58"/>
    <w:rsid w:val="00CE73BE"/>
    <w:rsid w:val="00CF240C"/>
    <w:rsid w:val="00CF69D1"/>
    <w:rsid w:val="00D03CAB"/>
    <w:rsid w:val="00D11CB4"/>
    <w:rsid w:val="00D11E26"/>
    <w:rsid w:val="00D442FF"/>
    <w:rsid w:val="00D5098A"/>
    <w:rsid w:val="00D50C00"/>
    <w:rsid w:val="00D52C48"/>
    <w:rsid w:val="00D67100"/>
    <w:rsid w:val="00D72161"/>
    <w:rsid w:val="00D721EE"/>
    <w:rsid w:val="00D93881"/>
    <w:rsid w:val="00DB30EE"/>
    <w:rsid w:val="00DC565A"/>
    <w:rsid w:val="00DC686F"/>
    <w:rsid w:val="00DF026C"/>
    <w:rsid w:val="00DF6D97"/>
    <w:rsid w:val="00E1138F"/>
    <w:rsid w:val="00E209AD"/>
    <w:rsid w:val="00E32B6F"/>
    <w:rsid w:val="00E34254"/>
    <w:rsid w:val="00E41403"/>
    <w:rsid w:val="00E428FC"/>
    <w:rsid w:val="00E47419"/>
    <w:rsid w:val="00E50219"/>
    <w:rsid w:val="00E61834"/>
    <w:rsid w:val="00E61DFB"/>
    <w:rsid w:val="00E721CF"/>
    <w:rsid w:val="00E72468"/>
    <w:rsid w:val="00E80A29"/>
    <w:rsid w:val="00E90CA0"/>
    <w:rsid w:val="00E92C52"/>
    <w:rsid w:val="00E93BEA"/>
    <w:rsid w:val="00EA49EC"/>
    <w:rsid w:val="00EA68D3"/>
    <w:rsid w:val="00ED29D0"/>
    <w:rsid w:val="00EE4C8C"/>
    <w:rsid w:val="00EF7D56"/>
    <w:rsid w:val="00F02218"/>
    <w:rsid w:val="00F0518D"/>
    <w:rsid w:val="00F11106"/>
    <w:rsid w:val="00F45129"/>
    <w:rsid w:val="00F458CA"/>
    <w:rsid w:val="00F53C61"/>
    <w:rsid w:val="00F61B14"/>
    <w:rsid w:val="00F823C0"/>
    <w:rsid w:val="00F845E8"/>
    <w:rsid w:val="00FA0CF9"/>
    <w:rsid w:val="00FB5F16"/>
    <w:rsid w:val="00FB6A45"/>
    <w:rsid w:val="00FC6B1D"/>
    <w:rsid w:val="00FE1E99"/>
    <w:rsid w:val="00FE7037"/>
    <w:rsid w:val="00FF39E0"/>
    <w:rsid w:val="00FF6B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AF4DF62"/>
  <w15:docId w15:val="{1DF1C65E-A03A-4059-8689-7B9D59E9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uiPriority w:val="34"/>
    <w:qFormat/>
    <w:rsid w:val="008C495E"/>
    <w:pPr>
      <w:ind w:left="708"/>
    </w:pPr>
  </w:style>
  <w:style w:type="character" w:customStyle="1" w:styleId="AkapitzlistZnak">
    <w:name w:val="Akapit z listą Znak"/>
    <w:link w:val="Akapitzlist"/>
    <w:uiPriority w:val="34"/>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370466"/>
    <w:rPr>
      <w:sz w:val="16"/>
      <w:szCs w:val="16"/>
    </w:rPr>
  </w:style>
  <w:style w:type="paragraph" w:styleId="Tekstkomentarza">
    <w:name w:val="annotation text"/>
    <w:basedOn w:val="Normalny"/>
    <w:link w:val="TekstkomentarzaZnak"/>
    <w:uiPriority w:val="99"/>
    <w:unhideWhenUsed/>
    <w:rsid w:val="00370466"/>
    <w:pPr>
      <w:spacing w:line="240" w:lineRule="auto"/>
    </w:pPr>
    <w:rPr>
      <w:sz w:val="20"/>
    </w:rPr>
  </w:style>
  <w:style w:type="character" w:customStyle="1" w:styleId="TekstkomentarzaZnak">
    <w:name w:val="Tekst komentarza Znak"/>
    <w:basedOn w:val="Domylnaczcionkaakapitu"/>
    <w:link w:val="Tekstkomentarza"/>
    <w:uiPriority w:val="99"/>
    <w:rsid w:val="0037046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70466"/>
    <w:rPr>
      <w:b/>
      <w:bCs/>
    </w:rPr>
  </w:style>
  <w:style w:type="character" w:customStyle="1" w:styleId="TematkomentarzaZnak">
    <w:name w:val="Temat komentarza Znak"/>
    <w:basedOn w:val="TekstkomentarzaZnak"/>
    <w:link w:val="Tematkomentarza"/>
    <w:uiPriority w:val="99"/>
    <w:semiHidden/>
    <w:rsid w:val="00370466"/>
    <w:rPr>
      <w:rFonts w:ascii="Arial" w:eastAsia="Times New Roman" w:hAnsi="Arial" w:cs="Times New Roman"/>
      <w:b/>
      <w:bCs/>
      <w:sz w:val="20"/>
      <w:szCs w:val="20"/>
      <w:lang w:eastAsia="pl-PL"/>
    </w:rPr>
  </w:style>
  <w:style w:type="paragraph" w:styleId="Nagwek">
    <w:name w:val="header"/>
    <w:aliases w:val="Znak Znak,Znak"/>
    <w:basedOn w:val="Normalny"/>
    <w:link w:val="NagwekZnak"/>
    <w:uiPriority w:val="99"/>
    <w:unhideWhenUsed/>
    <w:rsid w:val="00C0278F"/>
    <w:pPr>
      <w:tabs>
        <w:tab w:val="center" w:pos="4536"/>
        <w:tab w:val="right" w:pos="9072"/>
      </w:tabs>
      <w:spacing w:before="0" w:line="240" w:lineRule="auto"/>
    </w:pPr>
  </w:style>
  <w:style w:type="character" w:customStyle="1" w:styleId="NagwekZnak">
    <w:name w:val="Nagłówek Znak"/>
    <w:aliases w:val="Znak Znak Znak,Znak Znak1"/>
    <w:basedOn w:val="Domylnaczcionkaakapitu"/>
    <w:link w:val="Nagwek"/>
    <w:uiPriority w:val="99"/>
    <w:rsid w:val="00C0278F"/>
    <w:rPr>
      <w:rFonts w:ascii="Arial" w:eastAsia="Times New Roman" w:hAnsi="Arial" w:cs="Times New Roman"/>
      <w:szCs w:val="20"/>
      <w:lang w:eastAsia="pl-PL"/>
    </w:rPr>
  </w:style>
  <w:style w:type="paragraph" w:styleId="Stopka">
    <w:name w:val="footer"/>
    <w:basedOn w:val="Normalny"/>
    <w:link w:val="StopkaZnak"/>
    <w:uiPriority w:val="99"/>
    <w:unhideWhenUsed/>
    <w:rsid w:val="00C0278F"/>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0278F"/>
    <w:rPr>
      <w:rFonts w:ascii="Arial" w:eastAsia="Times New Roman" w:hAnsi="Arial" w:cs="Times New Roman"/>
      <w:szCs w:val="20"/>
      <w:lang w:eastAsia="pl-PL"/>
    </w:rPr>
  </w:style>
  <w:style w:type="character" w:customStyle="1" w:styleId="tabulatory">
    <w:name w:val="tabulatory"/>
    <w:basedOn w:val="Domylnaczcionkaakapitu"/>
    <w:rsid w:val="00883644"/>
  </w:style>
  <w:style w:type="paragraph" w:styleId="HTML-wstpniesformatowany">
    <w:name w:val="HTML Preformatted"/>
    <w:basedOn w:val="Normalny"/>
    <w:link w:val="HTML-wstpniesformatowanyZnak"/>
    <w:uiPriority w:val="99"/>
    <w:semiHidden/>
    <w:unhideWhenUsed/>
    <w:rsid w:val="003E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3E7930"/>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15934">
      <w:bodyDiv w:val="1"/>
      <w:marLeft w:val="0"/>
      <w:marRight w:val="0"/>
      <w:marTop w:val="0"/>
      <w:marBottom w:val="0"/>
      <w:divBdr>
        <w:top w:val="none" w:sz="0" w:space="0" w:color="auto"/>
        <w:left w:val="none" w:sz="0" w:space="0" w:color="auto"/>
        <w:bottom w:val="none" w:sz="0" w:space="0" w:color="auto"/>
        <w:right w:val="none" w:sz="0" w:space="0" w:color="auto"/>
      </w:divBdr>
      <w:divsChild>
        <w:div w:id="410272907">
          <w:marLeft w:val="0"/>
          <w:marRight w:val="0"/>
          <w:marTop w:val="0"/>
          <w:marBottom w:val="0"/>
          <w:divBdr>
            <w:top w:val="none" w:sz="0" w:space="0" w:color="auto"/>
            <w:left w:val="none" w:sz="0" w:space="0" w:color="auto"/>
            <w:bottom w:val="none" w:sz="0" w:space="0" w:color="auto"/>
            <w:right w:val="none" w:sz="0" w:space="0" w:color="auto"/>
          </w:divBdr>
        </w:div>
        <w:div w:id="623923395">
          <w:marLeft w:val="0"/>
          <w:marRight w:val="0"/>
          <w:marTop w:val="0"/>
          <w:marBottom w:val="0"/>
          <w:divBdr>
            <w:top w:val="none" w:sz="0" w:space="0" w:color="auto"/>
            <w:left w:val="none" w:sz="0" w:space="0" w:color="auto"/>
            <w:bottom w:val="none" w:sz="0" w:space="0" w:color="auto"/>
            <w:right w:val="none" w:sz="0" w:space="0" w:color="auto"/>
          </w:divBdr>
        </w:div>
        <w:div w:id="1725833036">
          <w:marLeft w:val="0"/>
          <w:marRight w:val="0"/>
          <w:marTop w:val="0"/>
          <w:marBottom w:val="0"/>
          <w:divBdr>
            <w:top w:val="none" w:sz="0" w:space="0" w:color="auto"/>
            <w:left w:val="none" w:sz="0" w:space="0" w:color="auto"/>
            <w:bottom w:val="none" w:sz="0" w:space="0" w:color="auto"/>
            <w:right w:val="none" w:sz="0" w:space="0" w:color="auto"/>
          </w:divBdr>
        </w:div>
        <w:div w:id="1212884421">
          <w:marLeft w:val="0"/>
          <w:marRight w:val="0"/>
          <w:marTop w:val="0"/>
          <w:marBottom w:val="0"/>
          <w:divBdr>
            <w:top w:val="none" w:sz="0" w:space="0" w:color="auto"/>
            <w:left w:val="none" w:sz="0" w:space="0" w:color="auto"/>
            <w:bottom w:val="none" w:sz="0" w:space="0" w:color="auto"/>
            <w:right w:val="none" w:sz="0" w:space="0" w:color="auto"/>
          </w:divBdr>
        </w:div>
        <w:div w:id="254944292">
          <w:marLeft w:val="0"/>
          <w:marRight w:val="0"/>
          <w:marTop w:val="0"/>
          <w:marBottom w:val="0"/>
          <w:divBdr>
            <w:top w:val="none" w:sz="0" w:space="0" w:color="auto"/>
            <w:left w:val="none" w:sz="0" w:space="0" w:color="auto"/>
            <w:bottom w:val="none" w:sz="0" w:space="0" w:color="auto"/>
            <w:right w:val="none" w:sz="0" w:space="0" w:color="auto"/>
          </w:divBdr>
        </w:div>
        <w:div w:id="436486998">
          <w:marLeft w:val="0"/>
          <w:marRight w:val="0"/>
          <w:marTop w:val="0"/>
          <w:marBottom w:val="0"/>
          <w:divBdr>
            <w:top w:val="none" w:sz="0" w:space="0" w:color="auto"/>
            <w:left w:val="none" w:sz="0" w:space="0" w:color="auto"/>
            <w:bottom w:val="none" w:sz="0" w:space="0" w:color="auto"/>
            <w:right w:val="none" w:sz="0" w:space="0" w:color="auto"/>
          </w:divBdr>
        </w:div>
        <w:div w:id="1746756766">
          <w:marLeft w:val="0"/>
          <w:marRight w:val="0"/>
          <w:marTop w:val="0"/>
          <w:marBottom w:val="0"/>
          <w:divBdr>
            <w:top w:val="none" w:sz="0" w:space="0" w:color="auto"/>
            <w:left w:val="none" w:sz="0" w:space="0" w:color="auto"/>
            <w:bottom w:val="none" w:sz="0" w:space="0" w:color="auto"/>
            <w:right w:val="none" w:sz="0" w:space="0" w:color="auto"/>
          </w:divBdr>
        </w:div>
        <w:div w:id="426731078">
          <w:marLeft w:val="0"/>
          <w:marRight w:val="0"/>
          <w:marTop w:val="0"/>
          <w:marBottom w:val="0"/>
          <w:divBdr>
            <w:top w:val="none" w:sz="0" w:space="0" w:color="auto"/>
            <w:left w:val="none" w:sz="0" w:space="0" w:color="auto"/>
            <w:bottom w:val="none" w:sz="0" w:space="0" w:color="auto"/>
            <w:right w:val="none" w:sz="0" w:space="0" w:color="auto"/>
          </w:divBdr>
        </w:div>
        <w:div w:id="604387051">
          <w:marLeft w:val="0"/>
          <w:marRight w:val="0"/>
          <w:marTop w:val="0"/>
          <w:marBottom w:val="0"/>
          <w:divBdr>
            <w:top w:val="none" w:sz="0" w:space="0" w:color="auto"/>
            <w:left w:val="none" w:sz="0" w:space="0" w:color="auto"/>
            <w:bottom w:val="none" w:sz="0" w:space="0" w:color="auto"/>
            <w:right w:val="none" w:sz="0" w:space="0" w:color="auto"/>
          </w:divBdr>
        </w:div>
        <w:div w:id="2045862006">
          <w:marLeft w:val="0"/>
          <w:marRight w:val="0"/>
          <w:marTop w:val="0"/>
          <w:marBottom w:val="0"/>
          <w:divBdr>
            <w:top w:val="none" w:sz="0" w:space="0" w:color="auto"/>
            <w:left w:val="none" w:sz="0" w:space="0" w:color="auto"/>
            <w:bottom w:val="none" w:sz="0" w:space="0" w:color="auto"/>
            <w:right w:val="none" w:sz="0" w:space="0" w:color="auto"/>
          </w:divBdr>
        </w:div>
        <w:div w:id="911810918">
          <w:marLeft w:val="0"/>
          <w:marRight w:val="0"/>
          <w:marTop w:val="0"/>
          <w:marBottom w:val="0"/>
          <w:divBdr>
            <w:top w:val="none" w:sz="0" w:space="0" w:color="auto"/>
            <w:left w:val="none" w:sz="0" w:space="0" w:color="auto"/>
            <w:bottom w:val="none" w:sz="0" w:space="0" w:color="auto"/>
            <w:right w:val="none" w:sz="0" w:space="0" w:color="auto"/>
          </w:divBdr>
        </w:div>
        <w:div w:id="1426538952">
          <w:marLeft w:val="0"/>
          <w:marRight w:val="0"/>
          <w:marTop w:val="0"/>
          <w:marBottom w:val="0"/>
          <w:divBdr>
            <w:top w:val="none" w:sz="0" w:space="0" w:color="auto"/>
            <w:left w:val="none" w:sz="0" w:space="0" w:color="auto"/>
            <w:bottom w:val="none" w:sz="0" w:space="0" w:color="auto"/>
            <w:right w:val="none" w:sz="0" w:space="0" w:color="auto"/>
          </w:divBdr>
        </w:div>
        <w:div w:id="538787890">
          <w:marLeft w:val="0"/>
          <w:marRight w:val="0"/>
          <w:marTop w:val="0"/>
          <w:marBottom w:val="0"/>
          <w:divBdr>
            <w:top w:val="none" w:sz="0" w:space="0" w:color="auto"/>
            <w:left w:val="none" w:sz="0" w:space="0" w:color="auto"/>
            <w:bottom w:val="none" w:sz="0" w:space="0" w:color="auto"/>
            <w:right w:val="none" w:sz="0" w:space="0" w:color="auto"/>
          </w:divBdr>
        </w:div>
        <w:div w:id="1582913102">
          <w:marLeft w:val="0"/>
          <w:marRight w:val="0"/>
          <w:marTop w:val="0"/>
          <w:marBottom w:val="0"/>
          <w:divBdr>
            <w:top w:val="none" w:sz="0" w:space="0" w:color="auto"/>
            <w:left w:val="none" w:sz="0" w:space="0" w:color="auto"/>
            <w:bottom w:val="none" w:sz="0" w:space="0" w:color="auto"/>
            <w:right w:val="none" w:sz="0" w:space="0" w:color="auto"/>
          </w:divBdr>
        </w:div>
        <w:div w:id="205148041">
          <w:marLeft w:val="0"/>
          <w:marRight w:val="0"/>
          <w:marTop w:val="0"/>
          <w:marBottom w:val="0"/>
          <w:divBdr>
            <w:top w:val="none" w:sz="0" w:space="0" w:color="auto"/>
            <w:left w:val="none" w:sz="0" w:space="0" w:color="auto"/>
            <w:bottom w:val="none" w:sz="0" w:space="0" w:color="auto"/>
            <w:right w:val="none" w:sz="0" w:space="0" w:color="auto"/>
          </w:divBdr>
        </w:div>
        <w:div w:id="1466192876">
          <w:marLeft w:val="0"/>
          <w:marRight w:val="0"/>
          <w:marTop w:val="0"/>
          <w:marBottom w:val="0"/>
          <w:divBdr>
            <w:top w:val="none" w:sz="0" w:space="0" w:color="auto"/>
            <w:left w:val="none" w:sz="0" w:space="0" w:color="auto"/>
            <w:bottom w:val="none" w:sz="0" w:space="0" w:color="auto"/>
            <w:right w:val="none" w:sz="0" w:space="0" w:color="auto"/>
          </w:divBdr>
        </w:div>
        <w:div w:id="535583941">
          <w:marLeft w:val="0"/>
          <w:marRight w:val="0"/>
          <w:marTop w:val="0"/>
          <w:marBottom w:val="0"/>
          <w:divBdr>
            <w:top w:val="none" w:sz="0" w:space="0" w:color="auto"/>
            <w:left w:val="none" w:sz="0" w:space="0" w:color="auto"/>
            <w:bottom w:val="none" w:sz="0" w:space="0" w:color="auto"/>
            <w:right w:val="none" w:sz="0" w:space="0" w:color="auto"/>
          </w:divBdr>
        </w:div>
      </w:divsChild>
    </w:div>
    <w:div w:id="416563048">
      <w:bodyDiv w:val="1"/>
      <w:marLeft w:val="0"/>
      <w:marRight w:val="0"/>
      <w:marTop w:val="0"/>
      <w:marBottom w:val="0"/>
      <w:divBdr>
        <w:top w:val="none" w:sz="0" w:space="0" w:color="auto"/>
        <w:left w:val="none" w:sz="0" w:space="0" w:color="auto"/>
        <w:bottom w:val="none" w:sz="0" w:space="0" w:color="auto"/>
        <w:right w:val="none" w:sz="0" w:space="0" w:color="auto"/>
      </w:divBdr>
    </w:div>
    <w:div w:id="432435746">
      <w:bodyDiv w:val="1"/>
      <w:marLeft w:val="0"/>
      <w:marRight w:val="0"/>
      <w:marTop w:val="0"/>
      <w:marBottom w:val="0"/>
      <w:divBdr>
        <w:top w:val="none" w:sz="0" w:space="0" w:color="auto"/>
        <w:left w:val="none" w:sz="0" w:space="0" w:color="auto"/>
        <w:bottom w:val="none" w:sz="0" w:space="0" w:color="auto"/>
        <w:right w:val="none" w:sz="0" w:space="0" w:color="auto"/>
      </w:divBdr>
    </w:div>
    <w:div w:id="456802253">
      <w:bodyDiv w:val="1"/>
      <w:marLeft w:val="0"/>
      <w:marRight w:val="0"/>
      <w:marTop w:val="0"/>
      <w:marBottom w:val="0"/>
      <w:divBdr>
        <w:top w:val="none" w:sz="0" w:space="0" w:color="auto"/>
        <w:left w:val="none" w:sz="0" w:space="0" w:color="auto"/>
        <w:bottom w:val="none" w:sz="0" w:space="0" w:color="auto"/>
        <w:right w:val="none" w:sz="0" w:space="0" w:color="auto"/>
      </w:divBdr>
    </w:div>
    <w:div w:id="470942450">
      <w:bodyDiv w:val="1"/>
      <w:marLeft w:val="0"/>
      <w:marRight w:val="0"/>
      <w:marTop w:val="0"/>
      <w:marBottom w:val="0"/>
      <w:divBdr>
        <w:top w:val="none" w:sz="0" w:space="0" w:color="auto"/>
        <w:left w:val="none" w:sz="0" w:space="0" w:color="auto"/>
        <w:bottom w:val="none" w:sz="0" w:space="0" w:color="auto"/>
        <w:right w:val="none" w:sz="0" w:space="0" w:color="auto"/>
      </w:divBdr>
    </w:div>
    <w:div w:id="636885188">
      <w:bodyDiv w:val="1"/>
      <w:marLeft w:val="0"/>
      <w:marRight w:val="0"/>
      <w:marTop w:val="0"/>
      <w:marBottom w:val="0"/>
      <w:divBdr>
        <w:top w:val="none" w:sz="0" w:space="0" w:color="auto"/>
        <w:left w:val="none" w:sz="0" w:space="0" w:color="auto"/>
        <w:bottom w:val="none" w:sz="0" w:space="0" w:color="auto"/>
        <w:right w:val="none" w:sz="0" w:space="0" w:color="auto"/>
      </w:divBdr>
    </w:div>
    <w:div w:id="694120005">
      <w:bodyDiv w:val="1"/>
      <w:marLeft w:val="0"/>
      <w:marRight w:val="0"/>
      <w:marTop w:val="0"/>
      <w:marBottom w:val="0"/>
      <w:divBdr>
        <w:top w:val="none" w:sz="0" w:space="0" w:color="auto"/>
        <w:left w:val="none" w:sz="0" w:space="0" w:color="auto"/>
        <w:bottom w:val="none" w:sz="0" w:space="0" w:color="auto"/>
        <w:right w:val="none" w:sz="0" w:space="0" w:color="auto"/>
      </w:divBdr>
    </w:div>
    <w:div w:id="740105305">
      <w:bodyDiv w:val="1"/>
      <w:marLeft w:val="0"/>
      <w:marRight w:val="0"/>
      <w:marTop w:val="0"/>
      <w:marBottom w:val="0"/>
      <w:divBdr>
        <w:top w:val="none" w:sz="0" w:space="0" w:color="auto"/>
        <w:left w:val="none" w:sz="0" w:space="0" w:color="auto"/>
        <w:bottom w:val="none" w:sz="0" w:space="0" w:color="auto"/>
        <w:right w:val="none" w:sz="0" w:space="0" w:color="auto"/>
      </w:divBdr>
    </w:div>
    <w:div w:id="919873805">
      <w:bodyDiv w:val="1"/>
      <w:marLeft w:val="0"/>
      <w:marRight w:val="0"/>
      <w:marTop w:val="0"/>
      <w:marBottom w:val="0"/>
      <w:divBdr>
        <w:top w:val="none" w:sz="0" w:space="0" w:color="auto"/>
        <w:left w:val="none" w:sz="0" w:space="0" w:color="auto"/>
        <w:bottom w:val="none" w:sz="0" w:space="0" w:color="auto"/>
        <w:right w:val="none" w:sz="0" w:space="0" w:color="auto"/>
      </w:divBdr>
    </w:div>
    <w:div w:id="1013534390">
      <w:bodyDiv w:val="1"/>
      <w:marLeft w:val="0"/>
      <w:marRight w:val="0"/>
      <w:marTop w:val="0"/>
      <w:marBottom w:val="0"/>
      <w:divBdr>
        <w:top w:val="none" w:sz="0" w:space="0" w:color="auto"/>
        <w:left w:val="none" w:sz="0" w:space="0" w:color="auto"/>
        <w:bottom w:val="none" w:sz="0" w:space="0" w:color="auto"/>
        <w:right w:val="none" w:sz="0" w:space="0" w:color="auto"/>
      </w:divBdr>
    </w:div>
    <w:div w:id="1179926064">
      <w:bodyDiv w:val="1"/>
      <w:marLeft w:val="0"/>
      <w:marRight w:val="0"/>
      <w:marTop w:val="0"/>
      <w:marBottom w:val="0"/>
      <w:divBdr>
        <w:top w:val="none" w:sz="0" w:space="0" w:color="auto"/>
        <w:left w:val="none" w:sz="0" w:space="0" w:color="auto"/>
        <w:bottom w:val="none" w:sz="0" w:space="0" w:color="auto"/>
        <w:right w:val="none" w:sz="0" w:space="0" w:color="auto"/>
      </w:divBdr>
      <w:divsChild>
        <w:div w:id="977882197">
          <w:marLeft w:val="0"/>
          <w:marRight w:val="0"/>
          <w:marTop w:val="0"/>
          <w:marBottom w:val="0"/>
          <w:divBdr>
            <w:top w:val="none" w:sz="0" w:space="0" w:color="auto"/>
            <w:left w:val="none" w:sz="0" w:space="0" w:color="auto"/>
            <w:bottom w:val="none" w:sz="0" w:space="0" w:color="auto"/>
            <w:right w:val="none" w:sz="0" w:space="0" w:color="auto"/>
          </w:divBdr>
        </w:div>
        <w:div w:id="1958638583">
          <w:marLeft w:val="0"/>
          <w:marRight w:val="0"/>
          <w:marTop w:val="0"/>
          <w:marBottom w:val="0"/>
          <w:divBdr>
            <w:top w:val="none" w:sz="0" w:space="0" w:color="auto"/>
            <w:left w:val="none" w:sz="0" w:space="0" w:color="auto"/>
            <w:bottom w:val="none" w:sz="0" w:space="0" w:color="auto"/>
            <w:right w:val="none" w:sz="0" w:space="0" w:color="auto"/>
          </w:divBdr>
        </w:div>
        <w:div w:id="1650478800">
          <w:marLeft w:val="0"/>
          <w:marRight w:val="0"/>
          <w:marTop w:val="0"/>
          <w:marBottom w:val="0"/>
          <w:divBdr>
            <w:top w:val="none" w:sz="0" w:space="0" w:color="auto"/>
            <w:left w:val="none" w:sz="0" w:space="0" w:color="auto"/>
            <w:bottom w:val="none" w:sz="0" w:space="0" w:color="auto"/>
            <w:right w:val="none" w:sz="0" w:space="0" w:color="auto"/>
          </w:divBdr>
        </w:div>
        <w:div w:id="455373899">
          <w:marLeft w:val="0"/>
          <w:marRight w:val="0"/>
          <w:marTop w:val="0"/>
          <w:marBottom w:val="0"/>
          <w:divBdr>
            <w:top w:val="none" w:sz="0" w:space="0" w:color="auto"/>
            <w:left w:val="none" w:sz="0" w:space="0" w:color="auto"/>
            <w:bottom w:val="none" w:sz="0" w:space="0" w:color="auto"/>
            <w:right w:val="none" w:sz="0" w:space="0" w:color="auto"/>
          </w:divBdr>
        </w:div>
        <w:div w:id="269972616">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 w:id="322396815">
          <w:marLeft w:val="0"/>
          <w:marRight w:val="0"/>
          <w:marTop w:val="0"/>
          <w:marBottom w:val="0"/>
          <w:divBdr>
            <w:top w:val="none" w:sz="0" w:space="0" w:color="auto"/>
            <w:left w:val="none" w:sz="0" w:space="0" w:color="auto"/>
            <w:bottom w:val="none" w:sz="0" w:space="0" w:color="auto"/>
            <w:right w:val="none" w:sz="0" w:space="0" w:color="auto"/>
          </w:divBdr>
        </w:div>
        <w:div w:id="918367826">
          <w:marLeft w:val="0"/>
          <w:marRight w:val="0"/>
          <w:marTop w:val="0"/>
          <w:marBottom w:val="0"/>
          <w:divBdr>
            <w:top w:val="none" w:sz="0" w:space="0" w:color="auto"/>
            <w:left w:val="none" w:sz="0" w:space="0" w:color="auto"/>
            <w:bottom w:val="none" w:sz="0" w:space="0" w:color="auto"/>
            <w:right w:val="none" w:sz="0" w:space="0" w:color="auto"/>
          </w:divBdr>
        </w:div>
        <w:div w:id="113402654">
          <w:marLeft w:val="0"/>
          <w:marRight w:val="0"/>
          <w:marTop w:val="0"/>
          <w:marBottom w:val="0"/>
          <w:divBdr>
            <w:top w:val="none" w:sz="0" w:space="0" w:color="auto"/>
            <w:left w:val="none" w:sz="0" w:space="0" w:color="auto"/>
            <w:bottom w:val="none" w:sz="0" w:space="0" w:color="auto"/>
            <w:right w:val="none" w:sz="0" w:space="0" w:color="auto"/>
          </w:divBdr>
        </w:div>
        <w:div w:id="437718158">
          <w:marLeft w:val="0"/>
          <w:marRight w:val="0"/>
          <w:marTop w:val="0"/>
          <w:marBottom w:val="0"/>
          <w:divBdr>
            <w:top w:val="none" w:sz="0" w:space="0" w:color="auto"/>
            <w:left w:val="none" w:sz="0" w:space="0" w:color="auto"/>
            <w:bottom w:val="none" w:sz="0" w:space="0" w:color="auto"/>
            <w:right w:val="none" w:sz="0" w:space="0" w:color="auto"/>
          </w:divBdr>
        </w:div>
        <w:div w:id="772363980">
          <w:marLeft w:val="0"/>
          <w:marRight w:val="0"/>
          <w:marTop w:val="0"/>
          <w:marBottom w:val="0"/>
          <w:divBdr>
            <w:top w:val="none" w:sz="0" w:space="0" w:color="auto"/>
            <w:left w:val="none" w:sz="0" w:space="0" w:color="auto"/>
            <w:bottom w:val="none" w:sz="0" w:space="0" w:color="auto"/>
            <w:right w:val="none" w:sz="0" w:space="0" w:color="auto"/>
          </w:divBdr>
        </w:div>
        <w:div w:id="1937398903">
          <w:marLeft w:val="0"/>
          <w:marRight w:val="0"/>
          <w:marTop w:val="0"/>
          <w:marBottom w:val="0"/>
          <w:divBdr>
            <w:top w:val="none" w:sz="0" w:space="0" w:color="auto"/>
            <w:left w:val="none" w:sz="0" w:space="0" w:color="auto"/>
            <w:bottom w:val="none" w:sz="0" w:space="0" w:color="auto"/>
            <w:right w:val="none" w:sz="0" w:space="0" w:color="auto"/>
          </w:divBdr>
        </w:div>
        <w:div w:id="1927882391">
          <w:marLeft w:val="0"/>
          <w:marRight w:val="0"/>
          <w:marTop w:val="0"/>
          <w:marBottom w:val="0"/>
          <w:divBdr>
            <w:top w:val="none" w:sz="0" w:space="0" w:color="auto"/>
            <w:left w:val="none" w:sz="0" w:space="0" w:color="auto"/>
            <w:bottom w:val="none" w:sz="0" w:space="0" w:color="auto"/>
            <w:right w:val="none" w:sz="0" w:space="0" w:color="auto"/>
          </w:divBdr>
        </w:div>
        <w:div w:id="135490459">
          <w:marLeft w:val="0"/>
          <w:marRight w:val="0"/>
          <w:marTop w:val="0"/>
          <w:marBottom w:val="0"/>
          <w:divBdr>
            <w:top w:val="none" w:sz="0" w:space="0" w:color="auto"/>
            <w:left w:val="none" w:sz="0" w:space="0" w:color="auto"/>
            <w:bottom w:val="none" w:sz="0" w:space="0" w:color="auto"/>
            <w:right w:val="none" w:sz="0" w:space="0" w:color="auto"/>
          </w:divBdr>
        </w:div>
        <w:div w:id="1296987735">
          <w:marLeft w:val="0"/>
          <w:marRight w:val="0"/>
          <w:marTop w:val="0"/>
          <w:marBottom w:val="0"/>
          <w:divBdr>
            <w:top w:val="none" w:sz="0" w:space="0" w:color="auto"/>
            <w:left w:val="none" w:sz="0" w:space="0" w:color="auto"/>
            <w:bottom w:val="none" w:sz="0" w:space="0" w:color="auto"/>
            <w:right w:val="none" w:sz="0" w:space="0" w:color="auto"/>
          </w:divBdr>
        </w:div>
        <w:div w:id="147289187">
          <w:marLeft w:val="0"/>
          <w:marRight w:val="0"/>
          <w:marTop w:val="0"/>
          <w:marBottom w:val="0"/>
          <w:divBdr>
            <w:top w:val="none" w:sz="0" w:space="0" w:color="auto"/>
            <w:left w:val="none" w:sz="0" w:space="0" w:color="auto"/>
            <w:bottom w:val="none" w:sz="0" w:space="0" w:color="auto"/>
            <w:right w:val="none" w:sz="0" w:space="0" w:color="auto"/>
          </w:divBdr>
        </w:div>
        <w:div w:id="807211019">
          <w:marLeft w:val="0"/>
          <w:marRight w:val="0"/>
          <w:marTop w:val="0"/>
          <w:marBottom w:val="0"/>
          <w:divBdr>
            <w:top w:val="none" w:sz="0" w:space="0" w:color="auto"/>
            <w:left w:val="none" w:sz="0" w:space="0" w:color="auto"/>
            <w:bottom w:val="none" w:sz="0" w:space="0" w:color="auto"/>
            <w:right w:val="none" w:sz="0" w:space="0" w:color="auto"/>
          </w:divBdr>
        </w:div>
        <w:div w:id="1956057939">
          <w:marLeft w:val="0"/>
          <w:marRight w:val="0"/>
          <w:marTop w:val="0"/>
          <w:marBottom w:val="0"/>
          <w:divBdr>
            <w:top w:val="none" w:sz="0" w:space="0" w:color="auto"/>
            <w:left w:val="none" w:sz="0" w:space="0" w:color="auto"/>
            <w:bottom w:val="none" w:sz="0" w:space="0" w:color="auto"/>
            <w:right w:val="none" w:sz="0" w:space="0" w:color="auto"/>
          </w:divBdr>
        </w:div>
        <w:div w:id="1787504756">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1532063376">
          <w:marLeft w:val="0"/>
          <w:marRight w:val="0"/>
          <w:marTop w:val="0"/>
          <w:marBottom w:val="0"/>
          <w:divBdr>
            <w:top w:val="none" w:sz="0" w:space="0" w:color="auto"/>
            <w:left w:val="none" w:sz="0" w:space="0" w:color="auto"/>
            <w:bottom w:val="none" w:sz="0" w:space="0" w:color="auto"/>
            <w:right w:val="none" w:sz="0" w:space="0" w:color="auto"/>
          </w:divBdr>
        </w:div>
        <w:div w:id="1171529712">
          <w:marLeft w:val="0"/>
          <w:marRight w:val="0"/>
          <w:marTop w:val="0"/>
          <w:marBottom w:val="0"/>
          <w:divBdr>
            <w:top w:val="none" w:sz="0" w:space="0" w:color="auto"/>
            <w:left w:val="none" w:sz="0" w:space="0" w:color="auto"/>
            <w:bottom w:val="none" w:sz="0" w:space="0" w:color="auto"/>
            <w:right w:val="none" w:sz="0" w:space="0" w:color="auto"/>
          </w:divBdr>
        </w:div>
        <w:div w:id="1193226964">
          <w:marLeft w:val="0"/>
          <w:marRight w:val="0"/>
          <w:marTop w:val="0"/>
          <w:marBottom w:val="0"/>
          <w:divBdr>
            <w:top w:val="none" w:sz="0" w:space="0" w:color="auto"/>
            <w:left w:val="none" w:sz="0" w:space="0" w:color="auto"/>
            <w:bottom w:val="none" w:sz="0" w:space="0" w:color="auto"/>
            <w:right w:val="none" w:sz="0" w:space="0" w:color="auto"/>
          </w:divBdr>
        </w:div>
        <w:div w:id="302125538">
          <w:marLeft w:val="0"/>
          <w:marRight w:val="0"/>
          <w:marTop w:val="0"/>
          <w:marBottom w:val="0"/>
          <w:divBdr>
            <w:top w:val="none" w:sz="0" w:space="0" w:color="auto"/>
            <w:left w:val="none" w:sz="0" w:space="0" w:color="auto"/>
            <w:bottom w:val="none" w:sz="0" w:space="0" w:color="auto"/>
            <w:right w:val="none" w:sz="0" w:space="0" w:color="auto"/>
          </w:divBdr>
        </w:div>
        <w:div w:id="379404528">
          <w:marLeft w:val="0"/>
          <w:marRight w:val="0"/>
          <w:marTop w:val="0"/>
          <w:marBottom w:val="0"/>
          <w:divBdr>
            <w:top w:val="none" w:sz="0" w:space="0" w:color="auto"/>
            <w:left w:val="none" w:sz="0" w:space="0" w:color="auto"/>
            <w:bottom w:val="none" w:sz="0" w:space="0" w:color="auto"/>
            <w:right w:val="none" w:sz="0" w:space="0" w:color="auto"/>
          </w:divBdr>
        </w:div>
        <w:div w:id="1552955698">
          <w:marLeft w:val="0"/>
          <w:marRight w:val="0"/>
          <w:marTop w:val="0"/>
          <w:marBottom w:val="0"/>
          <w:divBdr>
            <w:top w:val="none" w:sz="0" w:space="0" w:color="auto"/>
            <w:left w:val="none" w:sz="0" w:space="0" w:color="auto"/>
            <w:bottom w:val="none" w:sz="0" w:space="0" w:color="auto"/>
            <w:right w:val="none" w:sz="0" w:space="0" w:color="auto"/>
          </w:divBdr>
        </w:div>
        <w:div w:id="1530995977">
          <w:marLeft w:val="0"/>
          <w:marRight w:val="0"/>
          <w:marTop w:val="0"/>
          <w:marBottom w:val="0"/>
          <w:divBdr>
            <w:top w:val="none" w:sz="0" w:space="0" w:color="auto"/>
            <w:left w:val="none" w:sz="0" w:space="0" w:color="auto"/>
            <w:bottom w:val="none" w:sz="0" w:space="0" w:color="auto"/>
            <w:right w:val="none" w:sz="0" w:space="0" w:color="auto"/>
          </w:divBdr>
        </w:div>
        <w:div w:id="1766994663">
          <w:marLeft w:val="0"/>
          <w:marRight w:val="0"/>
          <w:marTop w:val="0"/>
          <w:marBottom w:val="0"/>
          <w:divBdr>
            <w:top w:val="none" w:sz="0" w:space="0" w:color="auto"/>
            <w:left w:val="none" w:sz="0" w:space="0" w:color="auto"/>
            <w:bottom w:val="none" w:sz="0" w:space="0" w:color="auto"/>
            <w:right w:val="none" w:sz="0" w:space="0" w:color="auto"/>
          </w:divBdr>
        </w:div>
        <w:div w:id="1480995892">
          <w:marLeft w:val="0"/>
          <w:marRight w:val="0"/>
          <w:marTop w:val="0"/>
          <w:marBottom w:val="0"/>
          <w:divBdr>
            <w:top w:val="none" w:sz="0" w:space="0" w:color="auto"/>
            <w:left w:val="none" w:sz="0" w:space="0" w:color="auto"/>
            <w:bottom w:val="none" w:sz="0" w:space="0" w:color="auto"/>
            <w:right w:val="none" w:sz="0" w:space="0" w:color="auto"/>
          </w:divBdr>
        </w:div>
      </w:divsChild>
    </w:div>
    <w:div w:id="1189217872">
      <w:bodyDiv w:val="1"/>
      <w:marLeft w:val="0"/>
      <w:marRight w:val="0"/>
      <w:marTop w:val="0"/>
      <w:marBottom w:val="0"/>
      <w:divBdr>
        <w:top w:val="none" w:sz="0" w:space="0" w:color="auto"/>
        <w:left w:val="none" w:sz="0" w:space="0" w:color="auto"/>
        <w:bottom w:val="none" w:sz="0" w:space="0" w:color="auto"/>
        <w:right w:val="none" w:sz="0" w:space="0" w:color="auto"/>
      </w:divBdr>
      <w:divsChild>
        <w:div w:id="1877887024">
          <w:marLeft w:val="0"/>
          <w:marRight w:val="0"/>
          <w:marTop w:val="0"/>
          <w:marBottom w:val="0"/>
          <w:divBdr>
            <w:top w:val="none" w:sz="0" w:space="0" w:color="auto"/>
            <w:left w:val="none" w:sz="0" w:space="0" w:color="auto"/>
            <w:bottom w:val="none" w:sz="0" w:space="0" w:color="auto"/>
            <w:right w:val="none" w:sz="0" w:space="0" w:color="auto"/>
          </w:divBdr>
        </w:div>
        <w:div w:id="1842432431">
          <w:marLeft w:val="0"/>
          <w:marRight w:val="0"/>
          <w:marTop w:val="0"/>
          <w:marBottom w:val="0"/>
          <w:divBdr>
            <w:top w:val="none" w:sz="0" w:space="0" w:color="auto"/>
            <w:left w:val="none" w:sz="0" w:space="0" w:color="auto"/>
            <w:bottom w:val="none" w:sz="0" w:space="0" w:color="auto"/>
            <w:right w:val="none" w:sz="0" w:space="0" w:color="auto"/>
          </w:divBdr>
        </w:div>
        <w:div w:id="1707372274">
          <w:marLeft w:val="0"/>
          <w:marRight w:val="0"/>
          <w:marTop w:val="0"/>
          <w:marBottom w:val="0"/>
          <w:divBdr>
            <w:top w:val="none" w:sz="0" w:space="0" w:color="auto"/>
            <w:left w:val="none" w:sz="0" w:space="0" w:color="auto"/>
            <w:bottom w:val="none" w:sz="0" w:space="0" w:color="auto"/>
            <w:right w:val="none" w:sz="0" w:space="0" w:color="auto"/>
          </w:divBdr>
        </w:div>
        <w:div w:id="1859083105">
          <w:marLeft w:val="0"/>
          <w:marRight w:val="0"/>
          <w:marTop w:val="0"/>
          <w:marBottom w:val="0"/>
          <w:divBdr>
            <w:top w:val="none" w:sz="0" w:space="0" w:color="auto"/>
            <w:left w:val="none" w:sz="0" w:space="0" w:color="auto"/>
            <w:bottom w:val="none" w:sz="0" w:space="0" w:color="auto"/>
            <w:right w:val="none" w:sz="0" w:space="0" w:color="auto"/>
          </w:divBdr>
        </w:div>
        <w:div w:id="1225918972">
          <w:marLeft w:val="0"/>
          <w:marRight w:val="0"/>
          <w:marTop w:val="0"/>
          <w:marBottom w:val="0"/>
          <w:divBdr>
            <w:top w:val="none" w:sz="0" w:space="0" w:color="auto"/>
            <w:left w:val="none" w:sz="0" w:space="0" w:color="auto"/>
            <w:bottom w:val="none" w:sz="0" w:space="0" w:color="auto"/>
            <w:right w:val="none" w:sz="0" w:space="0" w:color="auto"/>
          </w:divBdr>
        </w:div>
        <w:div w:id="95755960">
          <w:marLeft w:val="0"/>
          <w:marRight w:val="0"/>
          <w:marTop w:val="0"/>
          <w:marBottom w:val="0"/>
          <w:divBdr>
            <w:top w:val="none" w:sz="0" w:space="0" w:color="auto"/>
            <w:left w:val="none" w:sz="0" w:space="0" w:color="auto"/>
            <w:bottom w:val="none" w:sz="0" w:space="0" w:color="auto"/>
            <w:right w:val="none" w:sz="0" w:space="0" w:color="auto"/>
          </w:divBdr>
        </w:div>
        <w:div w:id="383991169">
          <w:marLeft w:val="0"/>
          <w:marRight w:val="0"/>
          <w:marTop w:val="0"/>
          <w:marBottom w:val="0"/>
          <w:divBdr>
            <w:top w:val="none" w:sz="0" w:space="0" w:color="auto"/>
            <w:left w:val="none" w:sz="0" w:space="0" w:color="auto"/>
            <w:bottom w:val="none" w:sz="0" w:space="0" w:color="auto"/>
            <w:right w:val="none" w:sz="0" w:space="0" w:color="auto"/>
          </w:divBdr>
        </w:div>
        <w:div w:id="296499760">
          <w:marLeft w:val="0"/>
          <w:marRight w:val="0"/>
          <w:marTop w:val="0"/>
          <w:marBottom w:val="0"/>
          <w:divBdr>
            <w:top w:val="none" w:sz="0" w:space="0" w:color="auto"/>
            <w:left w:val="none" w:sz="0" w:space="0" w:color="auto"/>
            <w:bottom w:val="none" w:sz="0" w:space="0" w:color="auto"/>
            <w:right w:val="none" w:sz="0" w:space="0" w:color="auto"/>
          </w:divBdr>
        </w:div>
        <w:div w:id="1678000567">
          <w:marLeft w:val="0"/>
          <w:marRight w:val="0"/>
          <w:marTop w:val="0"/>
          <w:marBottom w:val="0"/>
          <w:divBdr>
            <w:top w:val="none" w:sz="0" w:space="0" w:color="auto"/>
            <w:left w:val="none" w:sz="0" w:space="0" w:color="auto"/>
            <w:bottom w:val="none" w:sz="0" w:space="0" w:color="auto"/>
            <w:right w:val="none" w:sz="0" w:space="0" w:color="auto"/>
          </w:divBdr>
        </w:div>
        <w:div w:id="616447285">
          <w:marLeft w:val="0"/>
          <w:marRight w:val="0"/>
          <w:marTop w:val="0"/>
          <w:marBottom w:val="0"/>
          <w:divBdr>
            <w:top w:val="none" w:sz="0" w:space="0" w:color="auto"/>
            <w:left w:val="none" w:sz="0" w:space="0" w:color="auto"/>
            <w:bottom w:val="none" w:sz="0" w:space="0" w:color="auto"/>
            <w:right w:val="none" w:sz="0" w:space="0" w:color="auto"/>
          </w:divBdr>
        </w:div>
      </w:divsChild>
    </w:div>
    <w:div w:id="1227371837">
      <w:bodyDiv w:val="1"/>
      <w:marLeft w:val="0"/>
      <w:marRight w:val="0"/>
      <w:marTop w:val="0"/>
      <w:marBottom w:val="0"/>
      <w:divBdr>
        <w:top w:val="none" w:sz="0" w:space="0" w:color="auto"/>
        <w:left w:val="none" w:sz="0" w:space="0" w:color="auto"/>
        <w:bottom w:val="none" w:sz="0" w:space="0" w:color="auto"/>
        <w:right w:val="none" w:sz="0" w:space="0" w:color="auto"/>
      </w:divBdr>
    </w:div>
    <w:div w:id="1477336383">
      <w:bodyDiv w:val="1"/>
      <w:marLeft w:val="0"/>
      <w:marRight w:val="0"/>
      <w:marTop w:val="0"/>
      <w:marBottom w:val="0"/>
      <w:divBdr>
        <w:top w:val="none" w:sz="0" w:space="0" w:color="auto"/>
        <w:left w:val="none" w:sz="0" w:space="0" w:color="auto"/>
        <w:bottom w:val="none" w:sz="0" w:space="0" w:color="auto"/>
        <w:right w:val="none" w:sz="0" w:space="0" w:color="auto"/>
      </w:divBdr>
    </w:div>
    <w:div w:id="1569611060">
      <w:bodyDiv w:val="1"/>
      <w:marLeft w:val="0"/>
      <w:marRight w:val="0"/>
      <w:marTop w:val="0"/>
      <w:marBottom w:val="0"/>
      <w:divBdr>
        <w:top w:val="none" w:sz="0" w:space="0" w:color="auto"/>
        <w:left w:val="none" w:sz="0" w:space="0" w:color="auto"/>
        <w:bottom w:val="none" w:sz="0" w:space="0" w:color="auto"/>
        <w:right w:val="none" w:sz="0" w:space="0" w:color="auto"/>
      </w:divBdr>
    </w:div>
    <w:div w:id="1608610896">
      <w:bodyDiv w:val="1"/>
      <w:marLeft w:val="0"/>
      <w:marRight w:val="0"/>
      <w:marTop w:val="0"/>
      <w:marBottom w:val="0"/>
      <w:divBdr>
        <w:top w:val="none" w:sz="0" w:space="0" w:color="auto"/>
        <w:left w:val="none" w:sz="0" w:space="0" w:color="auto"/>
        <w:bottom w:val="none" w:sz="0" w:space="0" w:color="auto"/>
        <w:right w:val="none" w:sz="0" w:space="0" w:color="auto"/>
      </w:divBdr>
      <w:divsChild>
        <w:div w:id="1374891320">
          <w:marLeft w:val="0"/>
          <w:marRight w:val="0"/>
          <w:marTop w:val="0"/>
          <w:marBottom w:val="0"/>
          <w:divBdr>
            <w:top w:val="none" w:sz="0" w:space="0" w:color="auto"/>
            <w:left w:val="none" w:sz="0" w:space="0" w:color="auto"/>
            <w:bottom w:val="none" w:sz="0" w:space="0" w:color="auto"/>
            <w:right w:val="none" w:sz="0" w:space="0" w:color="auto"/>
          </w:divBdr>
          <w:divsChild>
            <w:div w:id="2047291337">
              <w:marLeft w:val="0"/>
              <w:marRight w:val="0"/>
              <w:marTop w:val="0"/>
              <w:marBottom w:val="0"/>
              <w:divBdr>
                <w:top w:val="none" w:sz="0" w:space="0" w:color="auto"/>
                <w:left w:val="none" w:sz="0" w:space="0" w:color="auto"/>
                <w:bottom w:val="none" w:sz="0" w:space="0" w:color="auto"/>
                <w:right w:val="none" w:sz="0" w:space="0" w:color="auto"/>
              </w:divBdr>
              <w:divsChild>
                <w:div w:id="355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98760">
      <w:bodyDiv w:val="1"/>
      <w:marLeft w:val="0"/>
      <w:marRight w:val="0"/>
      <w:marTop w:val="0"/>
      <w:marBottom w:val="0"/>
      <w:divBdr>
        <w:top w:val="none" w:sz="0" w:space="0" w:color="auto"/>
        <w:left w:val="none" w:sz="0" w:space="0" w:color="auto"/>
        <w:bottom w:val="none" w:sz="0" w:space="0" w:color="auto"/>
        <w:right w:val="none" w:sz="0" w:space="0" w:color="auto"/>
      </w:divBdr>
    </w:div>
    <w:div w:id="1651977806">
      <w:bodyDiv w:val="1"/>
      <w:marLeft w:val="0"/>
      <w:marRight w:val="0"/>
      <w:marTop w:val="0"/>
      <w:marBottom w:val="0"/>
      <w:divBdr>
        <w:top w:val="none" w:sz="0" w:space="0" w:color="auto"/>
        <w:left w:val="none" w:sz="0" w:space="0" w:color="auto"/>
        <w:bottom w:val="none" w:sz="0" w:space="0" w:color="auto"/>
        <w:right w:val="none" w:sz="0" w:space="0" w:color="auto"/>
      </w:divBdr>
    </w:div>
    <w:div w:id="1852603060">
      <w:bodyDiv w:val="1"/>
      <w:marLeft w:val="0"/>
      <w:marRight w:val="0"/>
      <w:marTop w:val="0"/>
      <w:marBottom w:val="0"/>
      <w:divBdr>
        <w:top w:val="none" w:sz="0" w:space="0" w:color="auto"/>
        <w:left w:val="none" w:sz="0" w:space="0" w:color="auto"/>
        <w:bottom w:val="none" w:sz="0" w:space="0" w:color="auto"/>
        <w:right w:val="none" w:sz="0" w:space="0" w:color="auto"/>
      </w:divBdr>
      <w:divsChild>
        <w:div w:id="472715577">
          <w:marLeft w:val="0"/>
          <w:marRight w:val="0"/>
          <w:marTop w:val="0"/>
          <w:marBottom w:val="0"/>
          <w:divBdr>
            <w:top w:val="none" w:sz="0" w:space="0" w:color="auto"/>
            <w:left w:val="none" w:sz="0" w:space="0" w:color="auto"/>
            <w:bottom w:val="none" w:sz="0" w:space="0" w:color="auto"/>
            <w:right w:val="none" w:sz="0" w:space="0" w:color="auto"/>
          </w:divBdr>
        </w:div>
        <w:div w:id="886993778">
          <w:marLeft w:val="0"/>
          <w:marRight w:val="0"/>
          <w:marTop w:val="0"/>
          <w:marBottom w:val="0"/>
          <w:divBdr>
            <w:top w:val="none" w:sz="0" w:space="0" w:color="auto"/>
            <w:left w:val="none" w:sz="0" w:space="0" w:color="auto"/>
            <w:bottom w:val="none" w:sz="0" w:space="0" w:color="auto"/>
            <w:right w:val="none" w:sz="0" w:space="0" w:color="auto"/>
          </w:divBdr>
        </w:div>
        <w:div w:id="359286482">
          <w:marLeft w:val="0"/>
          <w:marRight w:val="0"/>
          <w:marTop w:val="0"/>
          <w:marBottom w:val="0"/>
          <w:divBdr>
            <w:top w:val="none" w:sz="0" w:space="0" w:color="auto"/>
            <w:left w:val="none" w:sz="0" w:space="0" w:color="auto"/>
            <w:bottom w:val="none" w:sz="0" w:space="0" w:color="auto"/>
            <w:right w:val="none" w:sz="0" w:space="0" w:color="auto"/>
          </w:divBdr>
        </w:div>
        <w:div w:id="244920123">
          <w:marLeft w:val="0"/>
          <w:marRight w:val="0"/>
          <w:marTop w:val="0"/>
          <w:marBottom w:val="0"/>
          <w:divBdr>
            <w:top w:val="none" w:sz="0" w:space="0" w:color="auto"/>
            <w:left w:val="none" w:sz="0" w:space="0" w:color="auto"/>
            <w:bottom w:val="none" w:sz="0" w:space="0" w:color="auto"/>
            <w:right w:val="none" w:sz="0" w:space="0" w:color="auto"/>
          </w:divBdr>
        </w:div>
        <w:div w:id="2054767347">
          <w:marLeft w:val="0"/>
          <w:marRight w:val="0"/>
          <w:marTop w:val="0"/>
          <w:marBottom w:val="0"/>
          <w:divBdr>
            <w:top w:val="none" w:sz="0" w:space="0" w:color="auto"/>
            <w:left w:val="none" w:sz="0" w:space="0" w:color="auto"/>
            <w:bottom w:val="none" w:sz="0" w:space="0" w:color="auto"/>
            <w:right w:val="none" w:sz="0" w:space="0" w:color="auto"/>
          </w:divBdr>
        </w:div>
        <w:div w:id="298732589">
          <w:marLeft w:val="0"/>
          <w:marRight w:val="0"/>
          <w:marTop w:val="0"/>
          <w:marBottom w:val="0"/>
          <w:divBdr>
            <w:top w:val="none" w:sz="0" w:space="0" w:color="auto"/>
            <w:left w:val="none" w:sz="0" w:space="0" w:color="auto"/>
            <w:bottom w:val="none" w:sz="0" w:space="0" w:color="auto"/>
            <w:right w:val="none" w:sz="0" w:space="0" w:color="auto"/>
          </w:divBdr>
        </w:div>
        <w:div w:id="2115861631">
          <w:marLeft w:val="0"/>
          <w:marRight w:val="0"/>
          <w:marTop w:val="0"/>
          <w:marBottom w:val="0"/>
          <w:divBdr>
            <w:top w:val="none" w:sz="0" w:space="0" w:color="auto"/>
            <w:left w:val="none" w:sz="0" w:space="0" w:color="auto"/>
            <w:bottom w:val="none" w:sz="0" w:space="0" w:color="auto"/>
            <w:right w:val="none" w:sz="0" w:space="0" w:color="auto"/>
          </w:divBdr>
        </w:div>
        <w:div w:id="1375273643">
          <w:marLeft w:val="0"/>
          <w:marRight w:val="0"/>
          <w:marTop w:val="0"/>
          <w:marBottom w:val="0"/>
          <w:divBdr>
            <w:top w:val="none" w:sz="0" w:space="0" w:color="auto"/>
            <w:left w:val="none" w:sz="0" w:space="0" w:color="auto"/>
            <w:bottom w:val="none" w:sz="0" w:space="0" w:color="auto"/>
            <w:right w:val="none" w:sz="0" w:space="0" w:color="auto"/>
          </w:divBdr>
        </w:div>
        <w:div w:id="1629893608">
          <w:marLeft w:val="0"/>
          <w:marRight w:val="0"/>
          <w:marTop w:val="0"/>
          <w:marBottom w:val="0"/>
          <w:divBdr>
            <w:top w:val="none" w:sz="0" w:space="0" w:color="auto"/>
            <w:left w:val="none" w:sz="0" w:space="0" w:color="auto"/>
            <w:bottom w:val="none" w:sz="0" w:space="0" w:color="auto"/>
            <w:right w:val="none" w:sz="0" w:space="0" w:color="auto"/>
          </w:divBdr>
        </w:div>
        <w:div w:id="1747649995">
          <w:marLeft w:val="0"/>
          <w:marRight w:val="0"/>
          <w:marTop w:val="0"/>
          <w:marBottom w:val="0"/>
          <w:divBdr>
            <w:top w:val="none" w:sz="0" w:space="0" w:color="auto"/>
            <w:left w:val="none" w:sz="0" w:space="0" w:color="auto"/>
            <w:bottom w:val="none" w:sz="0" w:space="0" w:color="auto"/>
            <w:right w:val="none" w:sz="0" w:space="0" w:color="auto"/>
          </w:divBdr>
        </w:div>
        <w:div w:id="1109395914">
          <w:marLeft w:val="0"/>
          <w:marRight w:val="0"/>
          <w:marTop w:val="0"/>
          <w:marBottom w:val="0"/>
          <w:divBdr>
            <w:top w:val="none" w:sz="0" w:space="0" w:color="auto"/>
            <w:left w:val="none" w:sz="0" w:space="0" w:color="auto"/>
            <w:bottom w:val="none" w:sz="0" w:space="0" w:color="auto"/>
            <w:right w:val="none" w:sz="0" w:space="0" w:color="auto"/>
          </w:divBdr>
        </w:div>
        <w:div w:id="361057048">
          <w:marLeft w:val="0"/>
          <w:marRight w:val="0"/>
          <w:marTop w:val="0"/>
          <w:marBottom w:val="0"/>
          <w:divBdr>
            <w:top w:val="none" w:sz="0" w:space="0" w:color="auto"/>
            <w:left w:val="none" w:sz="0" w:space="0" w:color="auto"/>
            <w:bottom w:val="none" w:sz="0" w:space="0" w:color="auto"/>
            <w:right w:val="none" w:sz="0" w:space="0" w:color="auto"/>
          </w:divBdr>
        </w:div>
        <w:div w:id="1665086645">
          <w:marLeft w:val="0"/>
          <w:marRight w:val="0"/>
          <w:marTop w:val="0"/>
          <w:marBottom w:val="0"/>
          <w:divBdr>
            <w:top w:val="none" w:sz="0" w:space="0" w:color="auto"/>
            <w:left w:val="none" w:sz="0" w:space="0" w:color="auto"/>
            <w:bottom w:val="none" w:sz="0" w:space="0" w:color="auto"/>
            <w:right w:val="none" w:sz="0" w:space="0" w:color="auto"/>
          </w:divBdr>
        </w:div>
        <w:div w:id="503325270">
          <w:marLeft w:val="0"/>
          <w:marRight w:val="0"/>
          <w:marTop w:val="0"/>
          <w:marBottom w:val="0"/>
          <w:divBdr>
            <w:top w:val="none" w:sz="0" w:space="0" w:color="auto"/>
            <w:left w:val="none" w:sz="0" w:space="0" w:color="auto"/>
            <w:bottom w:val="none" w:sz="0" w:space="0" w:color="auto"/>
            <w:right w:val="none" w:sz="0" w:space="0" w:color="auto"/>
          </w:divBdr>
        </w:div>
        <w:div w:id="1430007883">
          <w:marLeft w:val="0"/>
          <w:marRight w:val="0"/>
          <w:marTop w:val="0"/>
          <w:marBottom w:val="0"/>
          <w:divBdr>
            <w:top w:val="none" w:sz="0" w:space="0" w:color="auto"/>
            <w:left w:val="none" w:sz="0" w:space="0" w:color="auto"/>
            <w:bottom w:val="none" w:sz="0" w:space="0" w:color="auto"/>
            <w:right w:val="none" w:sz="0" w:space="0" w:color="auto"/>
          </w:divBdr>
        </w:div>
        <w:div w:id="966858225">
          <w:marLeft w:val="0"/>
          <w:marRight w:val="0"/>
          <w:marTop w:val="0"/>
          <w:marBottom w:val="0"/>
          <w:divBdr>
            <w:top w:val="none" w:sz="0" w:space="0" w:color="auto"/>
            <w:left w:val="none" w:sz="0" w:space="0" w:color="auto"/>
            <w:bottom w:val="none" w:sz="0" w:space="0" w:color="auto"/>
            <w:right w:val="none" w:sz="0" w:space="0" w:color="auto"/>
          </w:divBdr>
        </w:div>
        <w:div w:id="1369718712">
          <w:marLeft w:val="0"/>
          <w:marRight w:val="0"/>
          <w:marTop w:val="0"/>
          <w:marBottom w:val="0"/>
          <w:divBdr>
            <w:top w:val="none" w:sz="0" w:space="0" w:color="auto"/>
            <w:left w:val="none" w:sz="0" w:space="0" w:color="auto"/>
            <w:bottom w:val="none" w:sz="0" w:space="0" w:color="auto"/>
            <w:right w:val="none" w:sz="0" w:space="0" w:color="auto"/>
          </w:divBdr>
        </w:div>
        <w:div w:id="326910780">
          <w:marLeft w:val="0"/>
          <w:marRight w:val="0"/>
          <w:marTop w:val="0"/>
          <w:marBottom w:val="0"/>
          <w:divBdr>
            <w:top w:val="none" w:sz="0" w:space="0" w:color="auto"/>
            <w:left w:val="none" w:sz="0" w:space="0" w:color="auto"/>
            <w:bottom w:val="none" w:sz="0" w:space="0" w:color="auto"/>
            <w:right w:val="none" w:sz="0" w:space="0" w:color="auto"/>
          </w:divBdr>
        </w:div>
        <w:div w:id="1581867464">
          <w:marLeft w:val="0"/>
          <w:marRight w:val="0"/>
          <w:marTop w:val="0"/>
          <w:marBottom w:val="0"/>
          <w:divBdr>
            <w:top w:val="none" w:sz="0" w:space="0" w:color="auto"/>
            <w:left w:val="none" w:sz="0" w:space="0" w:color="auto"/>
            <w:bottom w:val="none" w:sz="0" w:space="0" w:color="auto"/>
            <w:right w:val="none" w:sz="0" w:space="0" w:color="auto"/>
          </w:divBdr>
        </w:div>
        <w:div w:id="1687825797">
          <w:marLeft w:val="0"/>
          <w:marRight w:val="0"/>
          <w:marTop w:val="0"/>
          <w:marBottom w:val="0"/>
          <w:divBdr>
            <w:top w:val="none" w:sz="0" w:space="0" w:color="auto"/>
            <w:left w:val="none" w:sz="0" w:space="0" w:color="auto"/>
            <w:bottom w:val="none" w:sz="0" w:space="0" w:color="auto"/>
            <w:right w:val="none" w:sz="0" w:space="0" w:color="auto"/>
          </w:divBdr>
        </w:div>
        <w:div w:id="1621717039">
          <w:marLeft w:val="0"/>
          <w:marRight w:val="0"/>
          <w:marTop w:val="0"/>
          <w:marBottom w:val="0"/>
          <w:divBdr>
            <w:top w:val="none" w:sz="0" w:space="0" w:color="auto"/>
            <w:left w:val="none" w:sz="0" w:space="0" w:color="auto"/>
            <w:bottom w:val="none" w:sz="0" w:space="0" w:color="auto"/>
            <w:right w:val="none" w:sz="0" w:space="0" w:color="auto"/>
          </w:divBdr>
        </w:div>
        <w:div w:id="1994992211">
          <w:marLeft w:val="0"/>
          <w:marRight w:val="0"/>
          <w:marTop w:val="0"/>
          <w:marBottom w:val="0"/>
          <w:divBdr>
            <w:top w:val="none" w:sz="0" w:space="0" w:color="auto"/>
            <w:left w:val="none" w:sz="0" w:space="0" w:color="auto"/>
            <w:bottom w:val="none" w:sz="0" w:space="0" w:color="auto"/>
            <w:right w:val="none" w:sz="0" w:space="0" w:color="auto"/>
          </w:divBdr>
        </w:div>
        <w:div w:id="913509980">
          <w:marLeft w:val="0"/>
          <w:marRight w:val="0"/>
          <w:marTop w:val="0"/>
          <w:marBottom w:val="0"/>
          <w:divBdr>
            <w:top w:val="none" w:sz="0" w:space="0" w:color="auto"/>
            <w:left w:val="none" w:sz="0" w:space="0" w:color="auto"/>
            <w:bottom w:val="none" w:sz="0" w:space="0" w:color="auto"/>
            <w:right w:val="none" w:sz="0" w:space="0" w:color="auto"/>
          </w:divBdr>
        </w:div>
        <w:div w:id="1821069890">
          <w:marLeft w:val="0"/>
          <w:marRight w:val="0"/>
          <w:marTop w:val="0"/>
          <w:marBottom w:val="0"/>
          <w:divBdr>
            <w:top w:val="none" w:sz="0" w:space="0" w:color="auto"/>
            <w:left w:val="none" w:sz="0" w:space="0" w:color="auto"/>
            <w:bottom w:val="none" w:sz="0" w:space="0" w:color="auto"/>
            <w:right w:val="none" w:sz="0" w:space="0" w:color="auto"/>
          </w:divBdr>
        </w:div>
        <w:div w:id="1077480678">
          <w:marLeft w:val="0"/>
          <w:marRight w:val="0"/>
          <w:marTop w:val="0"/>
          <w:marBottom w:val="0"/>
          <w:divBdr>
            <w:top w:val="none" w:sz="0" w:space="0" w:color="auto"/>
            <w:left w:val="none" w:sz="0" w:space="0" w:color="auto"/>
            <w:bottom w:val="none" w:sz="0" w:space="0" w:color="auto"/>
            <w:right w:val="none" w:sz="0" w:space="0" w:color="auto"/>
          </w:divBdr>
        </w:div>
      </w:divsChild>
    </w:div>
    <w:div w:id="2061586608">
      <w:bodyDiv w:val="1"/>
      <w:marLeft w:val="0"/>
      <w:marRight w:val="0"/>
      <w:marTop w:val="0"/>
      <w:marBottom w:val="0"/>
      <w:divBdr>
        <w:top w:val="none" w:sz="0" w:space="0" w:color="auto"/>
        <w:left w:val="none" w:sz="0" w:space="0" w:color="auto"/>
        <w:bottom w:val="none" w:sz="0" w:space="0" w:color="auto"/>
        <w:right w:val="none" w:sz="0" w:space="0" w:color="auto"/>
      </w:divBdr>
    </w:div>
    <w:div w:id="208190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86D68-CAEF-413F-AC73-6ECF6C461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2762</Words>
  <Characters>16576</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Sylwia Gacek</cp:lastModifiedBy>
  <cp:revision>4</cp:revision>
  <cp:lastPrinted>2016-09-28T11:50:00Z</cp:lastPrinted>
  <dcterms:created xsi:type="dcterms:W3CDTF">2018-11-05T13:54:00Z</dcterms:created>
  <dcterms:modified xsi:type="dcterms:W3CDTF">2018-12-07T13:56:00Z</dcterms:modified>
</cp:coreProperties>
</file>