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DB9CD" w14:textId="77777777" w:rsidR="00F2790E" w:rsidRPr="00E26377" w:rsidRDefault="00F2790E" w:rsidP="004871D1">
      <w:pPr>
        <w:tabs>
          <w:tab w:val="left" w:pos="5220"/>
        </w:tabs>
        <w:autoSpaceDE w:val="0"/>
        <w:contextualSpacing/>
        <w:rPr>
          <w:rFonts w:asciiTheme="minorHAnsi" w:hAnsiTheme="minorHAnsi" w:cs="Calibri"/>
          <w:b/>
          <w:bCs/>
          <w:sz w:val="28"/>
          <w:szCs w:val="28"/>
        </w:rPr>
      </w:pPr>
      <w:bookmarkStart w:id="0" w:name="_GoBack"/>
      <w:bookmarkEnd w:id="0"/>
    </w:p>
    <w:p w14:paraId="398DE283" w14:textId="6314A444" w:rsidR="00547B13" w:rsidRDefault="00547B13" w:rsidP="00547B13">
      <w:pPr>
        <w:autoSpaceDE w:val="0"/>
        <w:contextualSpacing/>
        <w:jc w:val="center"/>
        <w:rPr>
          <w:rFonts w:ascii="Calibri" w:hAnsi="Calibri" w:cs="Arial"/>
          <w:b/>
          <w:sz w:val="32"/>
          <w:szCs w:val="32"/>
        </w:rPr>
      </w:pPr>
      <w:r w:rsidRPr="009D6C6D">
        <w:rPr>
          <w:rFonts w:ascii="Calibri" w:hAnsi="Calibri" w:cs="Arial"/>
          <w:b/>
          <w:sz w:val="32"/>
          <w:szCs w:val="32"/>
        </w:rPr>
        <w:t>RPDS.03.03.01-IP.01-02-</w:t>
      </w:r>
      <w:r w:rsidR="009D6C6D" w:rsidRPr="009D6C6D">
        <w:rPr>
          <w:rFonts w:ascii="Calibri" w:hAnsi="Calibri" w:cs="Arial"/>
          <w:b/>
          <w:sz w:val="32"/>
          <w:szCs w:val="32"/>
        </w:rPr>
        <w:t>330</w:t>
      </w:r>
      <w:r w:rsidRPr="009D6C6D">
        <w:rPr>
          <w:rFonts w:ascii="Calibri" w:hAnsi="Calibri" w:cs="Arial"/>
          <w:b/>
          <w:sz w:val="32"/>
          <w:szCs w:val="32"/>
        </w:rPr>
        <w:t>/18</w:t>
      </w:r>
    </w:p>
    <w:p w14:paraId="13378AF1" w14:textId="77777777" w:rsidR="00F2790E" w:rsidRPr="00547B13" w:rsidRDefault="00F2790E" w:rsidP="00F2790E">
      <w:pPr>
        <w:autoSpaceDE w:val="0"/>
        <w:contextualSpacing/>
        <w:jc w:val="center"/>
        <w:rPr>
          <w:rFonts w:asciiTheme="minorHAnsi" w:hAnsiTheme="minorHAnsi" w:cs="Calibri"/>
          <w:b/>
          <w:bCs/>
          <w:sz w:val="32"/>
          <w:szCs w:val="32"/>
        </w:rPr>
      </w:pPr>
    </w:p>
    <w:p w14:paraId="22E70CD0" w14:textId="77777777" w:rsidR="009B79DD" w:rsidRDefault="009B79DD" w:rsidP="009C4473">
      <w:pPr>
        <w:autoSpaceDE w:val="0"/>
        <w:contextualSpacing/>
        <w:jc w:val="center"/>
        <w:rPr>
          <w:rFonts w:asciiTheme="minorHAnsi" w:hAnsiTheme="minorHAnsi" w:cs="Calibri"/>
          <w:b/>
          <w:bCs/>
          <w:sz w:val="28"/>
          <w:szCs w:val="28"/>
        </w:rPr>
      </w:pPr>
    </w:p>
    <w:p w14:paraId="14E33CB1" w14:textId="77777777" w:rsidR="009B79DD" w:rsidRDefault="009B79DD" w:rsidP="009C4473">
      <w:pPr>
        <w:autoSpaceDE w:val="0"/>
        <w:contextualSpacing/>
        <w:jc w:val="center"/>
        <w:rPr>
          <w:rFonts w:asciiTheme="minorHAnsi" w:hAnsiTheme="minorHAnsi" w:cs="Calibri"/>
          <w:b/>
          <w:bCs/>
          <w:sz w:val="28"/>
          <w:szCs w:val="28"/>
        </w:rPr>
      </w:pPr>
    </w:p>
    <w:p w14:paraId="54DA00BD"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DOLNOŚLĄSKA INSTYTUCJA POŚREDNICZĄCA,</w:t>
      </w:r>
    </w:p>
    <w:p w14:paraId="4A5B2D8C" w14:textId="77777777" w:rsidR="009C4473" w:rsidRPr="009C4473" w:rsidRDefault="009C4473" w:rsidP="009C4473">
      <w:pPr>
        <w:contextualSpacing/>
        <w:jc w:val="center"/>
        <w:rPr>
          <w:rFonts w:asciiTheme="minorHAnsi" w:hAnsiTheme="minorHAnsi" w:cs="Calibri"/>
          <w:b/>
          <w:sz w:val="28"/>
          <w:szCs w:val="28"/>
        </w:rPr>
      </w:pPr>
      <w:r w:rsidRPr="009C4473">
        <w:rPr>
          <w:rFonts w:asciiTheme="minorHAnsi" w:hAnsiTheme="minorHAnsi" w:cs="Calibri"/>
          <w:b/>
          <w:sz w:val="28"/>
          <w:szCs w:val="28"/>
        </w:rPr>
        <w:t xml:space="preserve">której </w:t>
      </w:r>
      <w:r w:rsidRPr="009C4473">
        <w:rPr>
          <w:rFonts w:asciiTheme="minorHAnsi" w:hAnsiTheme="minorHAnsi" w:cs="Calibri"/>
          <w:b/>
          <w:bCs/>
          <w:sz w:val="28"/>
          <w:szCs w:val="28"/>
        </w:rPr>
        <w:t>ZARZĄD WOJEWÓDZTWA DOLNOŚLĄSKIEGO</w:t>
      </w:r>
    </w:p>
    <w:p w14:paraId="26EF3A5D" w14:textId="2ED6F447" w:rsidR="009C4473" w:rsidRPr="009C4473" w:rsidRDefault="009C4473" w:rsidP="009C4473">
      <w:pPr>
        <w:contextualSpacing/>
        <w:jc w:val="center"/>
        <w:rPr>
          <w:rFonts w:asciiTheme="minorHAnsi" w:hAnsiTheme="minorHAnsi" w:cs="Calibri"/>
          <w:b/>
          <w:sz w:val="28"/>
          <w:szCs w:val="28"/>
        </w:rPr>
      </w:pPr>
      <w:r w:rsidRPr="009C4473">
        <w:rPr>
          <w:rFonts w:asciiTheme="minorHAnsi" w:hAnsiTheme="minorHAnsi" w:cs="Calibri"/>
          <w:b/>
          <w:sz w:val="28"/>
          <w:szCs w:val="28"/>
        </w:rPr>
        <w:t>22 maja 2015</w:t>
      </w:r>
      <w:r w:rsidR="009B79DD">
        <w:rPr>
          <w:rFonts w:asciiTheme="minorHAnsi" w:hAnsiTheme="minorHAnsi" w:cs="Calibri"/>
          <w:b/>
          <w:sz w:val="28"/>
          <w:szCs w:val="28"/>
        </w:rPr>
        <w:t xml:space="preserve"> </w:t>
      </w:r>
      <w:r w:rsidRPr="009C4473">
        <w:rPr>
          <w:rFonts w:asciiTheme="minorHAnsi" w:hAnsiTheme="minorHAnsi" w:cs="Calibri"/>
          <w:b/>
          <w:sz w:val="28"/>
          <w:szCs w:val="28"/>
        </w:rPr>
        <w:t>r. powierzył zadania w ramach</w:t>
      </w:r>
    </w:p>
    <w:p w14:paraId="429EC7D8"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 xml:space="preserve">Regionalnego Programu Operacyjnego Województwa Dolnośląskiego </w:t>
      </w:r>
    </w:p>
    <w:p w14:paraId="60657CF0"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2014-2020</w:t>
      </w:r>
    </w:p>
    <w:p w14:paraId="3076EA5D" w14:textId="77777777" w:rsidR="009C4473" w:rsidRPr="009C4473" w:rsidRDefault="009C4473" w:rsidP="009C4473">
      <w:pPr>
        <w:autoSpaceDE w:val="0"/>
        <w:contextualSpacing/>
        <w:rPr>
          <w:rFonts w:asciiTheme="minorHAnsi" w:hAnsiTheme="minorHAnsi" w:cs="Calibri"/>
          <w:b/>
          <w:bCs/>
        </w:rPr>
      </w:pPr>
    </w:p>
    <w:p w14:paraId="5D09D031"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ogłasza nabór wniosków o dofinansowanie realizacji projektów</w:t>
      </w:r>
    </w:p>
    <w:p w14:paraId="5C84E2E8"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 xml:space="preserve"> ze środków Europejskiego Funduszu Rozwoju Regionalnego </w:t>
      </w:r>
    </w:p>
    <w:p w14:paraId="7101C8D4"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w  ramach</w:t>
      </w:r>
    </w:p>
    <w:p w14:paraId="6C825217" w14:textId="77777777" w:rsidR="009C4473" w:rsidRPr="00B811DD" w:rsidRDefault="009C4473" w:rsidP="009C4473">
      <w:pPr>
        <w:autoSpaceDE w:val="0"/>
        <w:contextualSpacing/>
        <w:jc w:val="center"/>
        <w:rPr>
          <w:rFonts w:cs="Calibri"/>
          <w:b/>
          <w:bCs/>
          <w:sz w:val="28"/>
          <w:szCs w:val="28"/>
        </w:rPr>
      </w:pPr>
    </w:p>
    <w:p w14:paraId="5E943DE8" w14:textId="77777777" w:rsidR="007A0BD4" w:rsidRPr="00E26377" w:rsidRDefault="007A0BD4" w:rsidP="009C4473">
      <w:pPr>
        <w:autoSpaceDE w:val="0"/>
        <w:contextualSpacing/>
        <w:rPr>
          <w:rFonts w:asciiTheme="minorHAnsi" w:hAnsiTheme="minorHAnsi" w:cs="Calibri"/>
          <w:b/>
          <w:bCs/>
        </w:rPr>
      </w:pPr>
    </w:p>
    <w:p w14:paraId="7817C95D" w14:textId="77777777" w:rsidR="009C4473" w:rsidRP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Oś priorytetowa </w:t>
      </w:r>
      <w:r w:rsidR="00547B13">
        <w:rPr>
          <w:rFonts w:ascii="Calibri" w:hAnsi="Calibri" w:cs="Calibri"/>
          <w:b/>
          <w:bCs/>
          <w:sz w:val="28"/>
          <w:szCs w:val="28"/>
        </w:rPr>
        <w:t>3</w:t>
      </w:r>
    </w:p>
    <w:p w14:paraId="4394FE0E" w14:textId="77777777" w:rsid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 </w:t>
      </w:r>
      <w:r w:rsidR="00547B13">
        <w:rPr>
          <w:rFonts w:ascii="Calibri" w:hAnsi="Calibri" w:cs="Calibri"/>
          <w:b/>
          <w:bCs/>
          <w:sz w:val="28"/>
          <w:szCs w:val="28"/>
        </w:rPr>
        <w:t>Gospodarka niskoemisyjna</w:t>
      </w:r>
    </w:p>
    <w:p w14:paraId="45E32FEF" w14:textId="77777777" w:rsidR="009C4473" w:rsidRPr="009C4473" w:rsidRDefault="009C4473" w:rsidP="004871D1">
      <w:pPr>
        <w:autoSpaceDE w:val="0"/>
        <w:contextualSpacing/>
        <w:rPr>
          <w:rFonts w:ascii="Calibri" w:hAnsi="Calibri" w:cs="Calibri"/>
          <w:b/>
          <w:bCs/>
          <w:sz w:val="28"/>
          <w:szCs w:val="28"/>
        </w:rPr>
      </w:pPr>
    </w:p>
    <w:p w14:paraId="37B2BD4A" w14:textId="77777777" w:rsidR="009C4473" w:rsidRPr="009C4473" w:rsidRDefault="00547B13" w:rsidP="009C4473">
      <w:pPr>
        <w:autoSpaceDE w:val="0"/>
        <w:contextualSpacing/>
        <w:jc w:val="center"/>
        <w:rPr>
          <w:rFonts w:ascii="Calibri" w:hAnsi="Calibri" w:cs="Calibri"/>
          <w:b/>
          <w:bCs/>
          <w:sz w:val="28"/>
          <w:szCs w:val="28"/>
        </w:rPr>
      </w:pPr>
      <w:r>
        <w:rPr>
          <w:rFonts w:ascii="Calibri" w:hAnsi="Calibri" w:cs="Calibri"/>
          <w:b/>
          <w:bCs/>
          <w:sz w:val="28"/>
          <w:szCs w:val="28"/>
        </w:rPr>
        <w:t>Działanie 3.3</w:t>
      </w:r>
    </w:p>
    <w:p w14:paraId="5F149513" w14:textId="77777777" w:rsid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w:t>
      </w:r>
      <w:r w:rsidR="00547B13" w:rsidRPr="00547B13">
        <w:rPr>
          <w:rFonts w:ascii="Calibri" w:hAnsi="Calibri" w:cs="Calibri"/>
          <w:b/>
          <w:bCs/>
          <w:sz w:val="28"/>
          <w:szCs w:val="28"/>
        </w:rPr>
        <w:t>Efektywność energetyczna w budynkach użyteczności publicznej i sektorze mieszkaniowym</w:t>
      </w:r>
      <w:r w:rsidRPr="009C4473">
        <w:rPr>
          <w:rFonts w:ascii="Calibri" w:hAnsi="Calibri" w:cs="Calibri"/>
          <w:b/>
          <w:bCs/>
          <w:sz w:val="28"/>
          <w:szCs w:val="28"/>
        </w:rPr>
        <w:t>”</w:t>
      </w:r>
    </w:p>
    <w:p w14:paraId="33A7E7E6" w14:textId="77777777" w:rsidR="009C4473" w:rsidRPr="009C4473" w:rsidRDefault="009C4473" w:rsidP="004871D1">
      <w:pPr>
        <w:autoSpaceDE w:val="0"/>
        <w:contextualSpacing/>
        <w:rPr>
          <w:rFonts w:ascii="Calibri" w:hAnsi="Calibri" w:cs="Calibri"/>
          <w:b/>
          <w:bCs/>
          <w:sz w:val="28"/>
          <w:szCs w:val="28"/>
        </w:rPr>
      </w:pPr>
    </w:p>
    <w:p w14:paraId="4B782EE8" w14:textId="6367CB2C" w:rsidR="009C4473" w:rsidRP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Poddziałanie </w:t>
      </w:r>
      <w:r w:rsidR="00547B13">
        <w:rPr>
          <w:rFonts w:ascii="Calibri" w:hAnsi="Calibri" w:cs="Calibri"/>
          <w:b/>
          <w:bCs/>
          <w:sz w:val="28"/>
          <w:szCs w:val="28"/>
        </w:rPr>
        <w:t xml:space="preserve">3.3.1 </w:t>
      </w:r>
    </w:p>
    <w:p w14:paraId="5AAB14DB" w14:textId="6ECFA417" w:rsidR="009C4473" w:rsidRPr="00C86EFB" w:rsidRDefault="00C86EFB" w:rsidP="009C4473">
      <w:pPr>
        <w:autoSpaceDE w:val="0"/>
        <w:contextualSpacing/>
        <w:jc w:val="center"/>
        <w:rPr>
          <w:rFonts w:ascii="Calibri" w:hAnsi="Calibri" w:cs="Calibri"/>
          <w:b/>
          <w:bCs/>
          <w:sz w:val="28"/>
          <w:szCs w:val="28"/>
        </w:rPr>
      </w:pPr>
      <w:r w:rsidRPr="00C86EFB">
        <w:rPr>
          <w:rFonts w:asciiTheme="minorHAnsi" w:hAnsiTheme="minorHAnsi" w:cs="Arial"/>
          <w:b/>
          <w:sz w:val="22"/>
          <w:szCs w:val="22"/>
        </w:rPr>
        <w:t>Efektywność energetyczna w budynkach użyteczności publicznej i sektorze mieszkaniowym – konkursy horyzontalne</w:t>
      </w:r>
      <w:r w:rsidR="009B79DD">
        <w:rPr>
          <w:rFonts w:asciiTheme="minorHAnsi" w:hAnsiTheme="minorHAnsi" w:cs="Arial"/>
          <w:b/>
          <w:sz w:val="22"/>
          <w:szCs w:val="22"/>
        </w:rPr>
        <w:t xml:space="preserve"> -</w:t>
      </w:r>
      <w:r w:rsidRPr="00C86EFB">
        <w:rPr>
          <w:rFonts w:asciiTheme="minorHAnsi" w:hAnsiTheme="minorHAnsi" w:cs="Arial"/>
          <w:b/>
          <w:sz w:val="22"/>
          <w:szCs w:val="22"/>
        </w:rPr>
        <w:t xml:space="preserve"> OSI</w:t>
      </w:r>
    </w:p>
    <w:p w14:paraId="07660D41" w14:textId="77777777" w:rsidR="009B79DD" w:rsidRDefault="009B79DD" w:rsidP="009C4473">
      <w:pPr>
        <w:autoSpaceDE w:val="0"/>
        <w:contextualSpacing/>
        <w:jc w:val="center"/>
        <w:rPr>
          <w:rFonts w:ascii="Calibri" w:hAnsi="Calibri" w:cs="Calibri"/>
          <w:b/>
          <w:bCs/>
          <w:sz w:val="28"/>
          <w:szCs w:val="28"/>
        </w:rPr>
      </w:pPr>
    </w:p>
    <w:p w14:paraId="704BED12" w14:textId="1FE2AA8E" w:rsidR="009C4473" w:rsidRPr="009C4473" w:rsidRDefault="00547B13" w:rsidP="009C4473">
      <w:pPr>
        <w:autoSpaceDE w:val="0"/>
        <w:contextualSpacing/>
        <w:jc w:val="center"/>
        <w:rPr>
          <w:rFonts w:ascii="Calibri" w:hAnsi="Calibri" w:cs="Calibri"/>
          <w:b/>
          <w:bCs/>
          <w:sz w:val="28"/>
          <w:szCs w:val="28"/>
        </w:rPr>
      </w:pPr>
      <w:r>
        <w:rPr>
          <w:rFonts w:ascii="Calibri" w:hAnsi="Calibri" w:cs="Calibri"/>
          <w:b/>
          <w:bCs/>
          <w:sz w:val="28"/>
          <w:szCs w:val="28"/>
        </w:rPr>
        <w:t xml:space="preserve">Typ 3.3 </w:t>
      </w:r>
      <w:r w:rsidR="001244D7">
        <w:rPr>
          <w:rFonts w:ascii="Calibri" w:hAnsi="Calibri" w:cs="Calibri"/>
          <w:b/>
          <w:bCs/>
          <w:sz w:val="28"/>
          <w:szCs w:val="28"/>
        </w:rPr>
        <w:t>C</w:t>
      </w:r>
    </w:p>
    <w:p w14:paraId="1EE0AB68" w14:textId="77777777" w:rsidR="001244D7" w:rsidRPr="001244D7" w:rsidRDefault="001244D7" w:rsidP="001244D7">
      <w:pPr>
        <w:autoSpaceDE w:val="0"/>
        <w:contextualSpacing/>
        <w:jc w:val="center"/>
        <w:rPr>
          <w:rFonts w:asciiTheme="minorHAnsi" w:eastAsiaTheme="minorHAnsi" w:hAnsiTheme="minorHAnsi" w:cstheme="minorBidi"/>
          <w:b/>
          <w:sz w:val="22"/>
          <w:szCs w:val="22"/>
          <w:lang w:eastAsia="en-US"/>
        </w:rPr>
      </w:pPr>
      <w:r w:rsidRPr="001244D7">
        <w:rPr>
          <w:rFonts w:asciiTheme="minorHAnsi" w:eastAsiaTheme="minorHAnsi" w:hAnsiTheme="minorHAnsi" w:cstheme="minorBidi"/>
          <w:b/>
          <w:sz w:val="22"/>
          <w:szCs w:val="22"/>
          <w:lang w:eastAsia="en-US"/>
        </w:rPr>
        <w:t xml:space="preserve">Projekty demonstracyjne – publiczne inwestycje w zakresie budownictwa o znacznie podwyższonych parametrach charakterystyki energetycznej w budynkach użyteczności publicznej </w:t>
      </w:r>
    </w:p>
    <w:p w14:paraId="51C4FF6C" w14:textId="77777777" w:rsidR="007A0BD4" w:rsidRDefault="007A0BD4" w:rsidP="007A0BD4">
      <w:pPr>
        <w:autoSpaceDE w:val="0"/>
        <w:contextualSpacing/>
        <w:jc w:val="center"/>
        <w:rPr>
          <w:rFonts w:ascii="Calibri" w:hAnsi="Calibri" w:cs="Calibri"/>
          <w:b/>
          <w:bCs/>
        </w:rPr>
      </w:pPr>
    </w:p>
    <w:p w14:paraId="0D87C22E" w14:textId="77777777" w:rsidR="007A0BD4" w:rsidRDefault="007A0BD4" w:rsidP="007A0BD4">
      <w:pPr>
        <w:autoSpaceDE w:val="0"/>
        <w:contextualSpacing/>
        <w:jc w:val="center"/>
        <w:rPr>
          <w:rFonts w:ascii="Calibri" w:hAnsi="Calibri" w:cs="Calibri"/>
          <w:b/>
          <w:bCs/>
        </w:rPr>
      </w:pPr>
    </w:p>
    <w:p w14:paraId="2C31206D" w14:textId="77777777" w:rsidR="007A0BD4" w:rsidRDefault="007A0BD4" w:rsidP="007A0BD4">
      <w:pPr>
        <w:autoSpaceDE w:val="0"/>
        <w:contextualSpacing/>
        <w:jc w:val="center"/>
        <w:rPr>
          <w:rFonts w:ascii="Calibri" w:hAnsi="Calibri" w:cs="Calibri"/>
          <w:b/>
          <w:bCs/>
        </w:rPr>
      </w:pPr>
    </w:p>
    <w:p w14:paraId="73B5B489" w14:textId="77777777" w:rsidR="009C4473" w:rsidRDefault="009C4473" w:rsidP="007A0BD4">
      <w:pPr>
        <w:autoSpaceDE w:val="0"/>
        <w:contextualSpacing/>
        <w:jc w:val="center"/>
        <w:rPr>
          <w:rFonts w:ascii="Calibri" w:hAnsi="Calibri" w:cs="Calibri"/>
          <w:b/>
          <w:bCs/>
        </w:rPr>
      </w:pPr>
    </w:p>
    <w:p w14:paraId="1CDBDBCA" w14:textId="77777777" w:rsidR="004871D1" w:rsidRDefault="004871D1" w:rsidP="007A0BD4">
      <w:pPr>
        <w:autoSpaceDE w:val="0"/>
        <w:contextualSpacing/>
        <w:jc w:val="center"/>
        <w:rPr>
          <w:rFonts w:ascii="Calibri" w:hAnsi="Calibri" w:cs="Calibri"/>
          <w:b/>
          <w:bCs/>
        </w:rPr>
      </w:pPr>
    </w:p>
    <w:p w14:paraId="398B9D24" w14:textId="77777777" w:rsidR="00547B13" w:rsidRDefault="00547B13" w:rsidP="007A0BD4">
      <w:pPr>
        <w:autoSpaceDE w:val="0"/>
        <w:contextualSpacing/>
        <w:jc w:val="center"/>
        <w:rPr>
          <w:rFonts w:ascii="Calibri" w:hAnsi="Calibri" w:cs="Calibri"/>
          <w:b/>
          <w:bCs/>
        </w:rPr>
      </w:pPr>
    </w:p>
    <w:p w14:paraId="3C182FDE" w14:textId="77777777" w:rsidR="00547B13" w:rsidRDefault="00547B13" w:rsidP="007A0BD4">
      <w:pPr>
        <w:autoSpaceDE w:val="0"/>
        <w:contextualSpacing/>
        <w:jc w:val="center"/>
        <w:rPr>
          <w:rFonts w:ascii="Calibri" w:hAnsi="Calibri" w:cs="Calibri"/>
          <w:b/>
          <w:bCs/>
        </w:rPr>
      </w:pPr>
    </w:p>
    <w:p w14:paraId="2048852F" w14:textId="77777777" w:rsidR="007A0BD4" w:rsidRPr="00E26377" w:rsidRDefault="007A0BD4" w:rsidP="007A0BD4">
      <w:pPr>
        <w:autoSpaceDE w:val="0"/>
        <w:autoSpaceDN w:val="0"/>
        <w:adjustRightInd w:val="0"/>
        <w:jc w:val="center"/>
        <w:rPr>
          <w:rFonts w:ascii="Calibri" w:hAnsi="Calibri" w:cs="Calibri"/>
          <w:b/>
          <w:bCs/>
        </w:rPr>
      </w:pPr>
      <w:r w:rsidRPr="00E26377">
        <w:rPr>
          <w:rFonts w:ascii="Calibri" w:hAnsi="Calibri" w:cs="Calibri"/>
          <w:b/>
          <w:bCs/>
        </w:rPr>
        <w:t>Termin naboru (składania wniosków):</w:t>
      </w:r>
    </w:p>
    <w:p w14:paraId="192A1878" w14:textId="6BE23F8E" w:rsidR="00EC4D43" w:rsidRPr="0081210F" w:rsidRDefault="007A0BD4" w:rsidP="0081210F">
      <w:pPr>
        <w:autoSpaceDE w:val="0"/>
        <w:autoSpaceDN w:val="0"/>
        <w:adjustRightInd w:val="0"/>
        <w:jc w:val="center"/>
        <w:rPr>
          <w:rFonts w:asciiTheme="minorHAnsi" w:hAnsiTheme="minorHAnsi"/>
          <w:b/>
        </w:rPr>
      </w:pPr>
      <w:r w:rsidRPr="00E26377">
        <w:rPr>
          <w:rFonts w:asciiTheme="minorHAnsi" w:hAnsiTheme="minorHAnsi"/>
          <w:b/>
        </w:rPr>
        <w:t xml:space="preserve"> </w:t>
      </w:r>
      <w:r w:rsidR="009D3A77" w:rsidRPr="009D3A77">
        <w:rPr>
          <w:rFonts w:asciiTheme="minorHAnsi" w:hAnsiTheme="minorHAnsi"/>
          <w:b/>
        </w:rPr>
        <w:t xml:space="preserve">od godz. 8.00 dnia </w:t>
      </w:r>
      <w:r w:rsidR="001244D7">
        <w:rPr>
          <w:rFonts w:asciiTheme="minorHAnsi" w:hAnsiTheme="minorHAnsi"/>
          <w:b/>
        </w:rPr>
        <w:t>31</w:t>
      </w:r>
      <w:r w:rsidR="008828C1">
        <w:rPr>
          <w:rFonts w:asciiTheme="minorHAnsi" w:hAnsiTheme="minorHAnsi"/>
          <w:b/>
        </w:rPr>
        <w:t>.</w:t>
      </w:r>
      <w:r w:rsidR="001244D7">
        <w:rPr>
          <w:rFonts w:asciiTheme="minorHAnsi" w:hAnsiTheme="minorHAnsi"/>
          <w:b/>
        </w:rPr>
        <w:t>01</w:t>
      </w:r>
      <w:r w:rsidR="009D3A77" w:rsidRPr="009D3A77">
        <w:rPr>
          <w:rFonts w:asciiTheme="minorHAnsi" w:hAnsiTheme="minorHAnsi"/>
          <w:b/>
        </w:rPr>
        <w:t>.201</w:t>
      </w:r>
      <w:r w:rsidR="001244D7">
        <w:rPr>
          <w:rFonts w:asciiTheme="minorHAnsi" w:hAnsiTheme="minorHAnsi"/>
          <w:b/>
        </w:rPr>
        <w:t>9</w:t>
      </w:r>
      <w:r w:rsidR="009D3A77" w:rsidRPr="009D3A77">
        <w:rPr>
          <w:rFonts w:asciiTheme="minorHAnsi" w:hAnsiTheme="minorHAnsi"/>
          <w:b/>
        </w:rPr>
        <w:t xml:space="preserve"> r.  do godz. </w:t>
      </w:r>
      <w:r w:rsidR="009D3A77" w:rsidRPr="008A4588">
        <w:rPr>
          <w:rFonts w:asciiTheme="minorHAnsi" w:hAnsiTheme="minorHAnsi"/>
          <w:b/>
        </w:rPr>
        <w:t xml:space="preserve">15.00 dnia </w:t>
      </w:r>
      <w:r w:rsidR="00532CB6">
        <w:rPr>
          <w:rFonts w:asciiTheme="minorHAnsi" w:hAnsiTheme="minorHAnsi"/>
          <w:b/>
        </w:rPr>
        <w:t>12.04</w:t>
      </w:r>
      <w:r w:rsidR="0081210F" w:rsidRPr="008A4588">
        <w:rPr>
          <w:rFonts w:asciiTheme="minorHAnsi" w:hAnsiTheme="minorHAnsi"/>
          <w:b/>
        </w:rPr>
        <w:t>.201</w:t>
      </w:r>
      <w:r w:rsidR="004B5CDD" w:rsidRPr="008A4588">
        <w:rPr>
          <w:rFonts w:asciiTheme="minorHAnsi" w:hAnsiTheme="minorHAnsi"/>
          <w:b/>
        </w:rPr>
        <w:t>9</w:t>
      </w:r>
      <w:r w:rsidR="0081210F" w:rsidRPr="008A4588">
        <w:rPr>
          <w:rFonts w:asciiTheme="minorHAnsi" w:hAnsiTheme="minorHAnsi"/>
          <w:b/>
        </w:rPr>
        <w:t xml:space="preserve"> r</w:t>
      </w:r>
      <w:r w:rsidR="000352C3" w:rsidRPr="008A4588">
        <w:rPr>
          <w:rFonts w:asciiTheme="minorHAnsi" w:hAnsiTheme="minorHAnsi"/>
          <w:b/>
        </w:rPr>
        <w:t>.</w:t>
      </w:r>
    </w:p>
    <w:p w14:paraId="7EF97680" w14:textId="77777777" w:rsidR="00EC4D43" w:rsidRDefault="00EC4D43" w:rsidP="00F2790E">
      <w:pPr>
        <w:autoSpaceDE w:val="0"/>
        <w:contextualSpacing/>
        <w:jc w:val="center"/>
        <w:rPr>
          <w:rFonts w:ascii="Calibri" w:hAnsi="Calibri" w:cs="Calibri"/>
          <w:b/>
          <w:bCs/>
        </w:rPr>
      </w:pPr>
    </w:p>
    <w:p w14:paraId="6C9BFD75" w14:textId="77777777" w:rsidR="009B79DD" w:rsidRPr="00E26377" w:rsidRDefault="009B79DD" w:rsidP="00F2790E">
      <w:pPr>
        <w:autoSpaceDE w:val="0"/>
        <w:contextualSpacing/>
        <w:jc w:val="center"/>
        <w:rPr>
          <w:rFonts w:ascii="Calibri" w:hAnsi="Calibri" w:cs="Calibri"/>
          <w:b/>
          <w:bCs/>
        </w:rPr>
      </w:pPr>
    </w:p>
    <w:p w14:paraId="43441492" w14:textId="77777777" w:rsidR="002876B4" w:rsidRPr="006150DB"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6150DB">
        <w:rPr>
          <w:rFonts w:ascii="Calibri" w:hAnsi="Calibri" w:cs="Calibri"/>
          <w:b/>
          <w:bCs/>
        </w:rPr>
        <w:lastRenderedPageBreak/>
        <w:t>Rodzaj projektów podlegających dofinansowaniu</w:t>
      </w:r>
    </w:p>
    <w:p w14:paraId="25D5F97C" w14:textId="77777777" w:rsidR="009D3A77" w:rsidRDefault="009D3A77" w:rsidP="009D3A77">
      <w:pPr>
        <w:jc w:val="both"/>
        <w:rPr>
          <w:rFonts w:asciiTheme="minorHAnsi" w:hAnsiTheme="minorHAnsi"/>
          <w:b/>
          <w:i/>
        </w:rPr>
      </w:pPr>
    </w:p>
    <w:p w14:paraId="05B2E60B" w14:textId="77777777" w:rsidR="000352C3" w:rsidRPr="000352C3" w:rsidRDefault="000352C3" w:rsidP="000352C3">
      <w:pPr>
        <w:widowControl w:val="0"/>
        <w:spacing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 xml:space="preserve">Przedmiotem konkursu jest typ projektu określony dla działania 3.3.C Efektywność energetyczna </w:t>
      </w:r>
      <w:r w:rsidRPr="000352C3">
        <w:rPr>
          <w:rFonts w:asciiTheme="minorHAnsi" w:eastAsiaTheme="minorHAnsi" w:hAnsiTheme="minorHAnsi" w:cstheme="minorBidi"/>
          <w:sz w:val="22"/>
          <w:szCs w:val="22"/>
          <w:lang w:eastAsia="en-US"/>
        </w:rPr>
        <w:br/>
        <w:t>w budynkach użyteczności publicznej i sektorze mieszkaniowym, Osi Priorytetowej 3 Gospodarka niskoemisyjna, tj.:</w:t>
      </w:r>
    </w:p>
    <w:p w14:paraId="3B2FED77" w14:textId="77777777" w:rsidR="000352C3" w:rsidRPr="000352C3" w:rsidRDefault="000352C3" w:rsidP="000352C3">
      <w:pPr>
        <w:widowControl w:val="0"/>
        <w:spacing w:line="276" w:lineRule="auto"/>
        <w:jc w:val="both"/>
        <w:rPr>
          <w:rFonts w:asciiTheme="minorHAnsi" w:eastAsiaTheme="minorHAnsi" w:hAnsiTheme="minorHAnsi" w:cstheme="minorBidi"/>
          <w:sz w:val="22"/>
          <w:szCs w:val="22"/>
          <w:lang w:eastAsia="en-US"/>
        </w:rPr>
      </w:pPr>
    </w:p>
    <w:p w14:paraId="38B5D449" w14:textId="77777777" w:rsidR="000352C3" w:rsidRPr="000352C3" w:rsidRDefault="000352C3" w:rsidP="000352C3">
      <w:pPr>
        <w:widowControl w:val="0"/>
        <w:spacing w:line="276" w:lineRule="auto"/>
        <w:jc w:val="both"/>
        <w:rPr>
          <w:rFonts w:ascii="Calibri" w:hAnsi="Calibri" w:cs="Arial"/>
          <w:sz w:val="22"/>
          <w:szCs w:val="22"/>
        </w:rPr>
      </w:pPr>
      <w:r w:rsidRPr="000352C3">
        <w:rPr>
          <w:rFonts w:ascii="Calibri" w:hAnsi="Calibri" w:cs="Arial"/>
          <w:b/>
          <w:sz w:val="22"/>
          <w:szCs w:val="22"/>
        </w:rPr>
        <w:t>3.3.C jako projekty demonstracyjne</w:t>
      </w:r>
      <w:r w:rsidRPr="000352C3">
        <w:rPr>
          <w:rFonts w:ascii="Calibri" w:hAnsi="Calibri" w:cs="Arial"/>
          <w:sz w:val="22"/>
          <w:szCs w:val="22"/>
        </w:rPr>
        <w:t xml:space="preserve"> – </w:t>
      </w:r>
      <w:r w:rsidRPr="000352C3">
        <w:rPr>
          <w:rFonts w:ascii="Calibri" w:hAnsi="Calibri" w:cs="Arial"/>
          <w:sz w:val="22"/>
          <w:szCs w:val="22"/>
          <w:u w:val="single"/>
        </w:rPr>
        <w:t>publiczne inwestycje</w:t>
      </w:r>
      <w:r w:rsidRPr="000352C3">
        <w:rPr>
          <w:rFonts w:ascii="Calibri" w:hAnsi="Calibri" w:cs="Arial"/>
          <w:sz w:val="22"/>
          <w:szCs w:val="22"/>
          <w:u w:val="single"/>
          <w:vertAlign w:val="superscript"/>
        </w:rPr>
        <w:footnoteReference w:id="1"/>
      </w:r>
      <w:r w:rsidRPr="000352C3">
        <w:rPr>
          <w:rFonts w:ascii="Calibri" w:hAnsi="Calibri" w:cs="Arial"/>
          <w:sz w:val="22"/>
          <w:szCs w:val="22"/>
          <w:u w:val="single"/>
        </w:rPr>
        <w:t xml:space="preserve"> w zakresie budownictwa o znacznie podwyższonych parametrach charakterystyki energetycznej w budynkach użyteczności publicznej </w:t>
      </w:r>
      <w:r w:rsidRPr="000352C3">
        <w:rPr>
          <w:rFonts w:ascii="Calibri" w:hAnsi="Calibri" w:cs="Arial"/>
          <w:sz w:val="22"/>
          <w:szCs w:val="22"/>
          <w:u w:val="single"/>
        </w:rPr>
        <w:br/>
        <w:t>(budowa oraz modernizacja)</w:t>
      </w:r>
      <w:r w:rsidRPr="000352C3">
        <w:rPr>
          <w:rFonts w:ascii="Calibri" w:hAnsi="Calibri" w:cs="Arial"/>
          <w:sz w:val="22"/>
          <w:szCs w:val="22"/>
        </w:rPr>
        <w:t xml:space="preserve">. </w:t>
      </w:r>
    </w:p>
    <w:p w14:paraId="329DB722" w14:textId="77777777" w:rsidR="000352C3" w:rsidRPr="000352C3" w:rsidRDefault="000352C3" w:rsidP="000352C3">
      <w:pPr>
        <w:widowControl w:val="0"/>
        <w:spacing w:line="276" w:lineRule="auto"/>
        <w:jc w:val="both"/>
        <w:rPr>
          <w:rFonts w:ascii="Calibri" w:hAnsi="Calibri" w:cs="Arial"/>
          <w:sz w:val="22"/>
          <w:szCs w:val="22"/>
        </w:rPr>
      </w:pPr>
    </w:p>
    <w:p w14:paraId="6787592F" w14:textId="77777777" w:rsidR="000352C3" w:rsidRPr="000352C3" w:rsidRDefault="000352C3" w:rsidP="000352C3">
      <w:pPr>
        <w:widowControl w:val="0"/>
        <w:spacing w:line="276" w:lineRule="auto"/>
        <w:jc w:val="both"/>
        <w:rPr>
          <w:rFonts w:ascii="Calibri" w:hAnsi="Calibri" w:cs="Arial"/>
          <w:sz w:val="22"/>
          <w:szCs w:val="22"/>
        </w:rPr>
      </w:pPr>
      <w:r w:rsidRPr="000352C3">
        <w:rPr>
          <w:rFonts w:ascii="Calibri" w:hAnsi="Calibri" w:cs="Arial"/>
          <w:sz w:val="22"/>
          <w:szCs w:val="22"/>
        </w:rPr>
        <w:t>Projekty muszą:</w:t>
      </w:r>
    </w:p>
    <w:p w14:paraId="4E754501" w14:textId="77777777" w:rsidR="000352C3" w:rsidRPr="000352C3" w:rsidRDefault="000352C3" w:rsidP="000352C3">
      <w:pPr>
        <w:numPr>
          <w:ilvl w:val="1"/>
          <w:numId w:val="23"/>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dotyczyć inwestycji publicznej;</w:t>
      </w:r>
    </w:p>
    <w:p w14:paraId="03E5048B" w14:textId="77777777" w:rsidR="000352C3" w:rsidRPr="000352C3" w:rsidRDefault="000352C3" w:rsidP="000352C3">
      <w:pPr>
        <w:numPr>
          <w:ilvl w:val="1"/>
          <w:numId w:val="23"/>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polegać na budowie budynku o podwyższonych parametrach charakterystyki energetycznej/modernizacji budynku do standardu budynku o podwyższonych parametrach charakterystyki energetycznej;</w:t>
      </w:r>
    </w:p>
    <w:p w14:paraId="03EBFF6C" w14:textId="77777777" w:rsidR="000352C3" w:rsidRPr="000352C3" w:rsidRDefault="000352C3" w:rsidP="000352C3">
      <w:pPr>
        <w:numPr>
          <w:ilvl w:val="1"/>
          <w:numId w:val="23"/>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dotyczyć  budynku użyteczności publicznej;</w:t>
      </w:r>
    </w:p>
    <w:p w14:paraId="0FB28B2F" w14:textId="77777777" w:rsidR="000352C3" w:rsidRPr="000352C3" w:rsidRDefault="000352C3" w:rsidP="000352C3">
      <w:pPr>
        <w:numPr>
          <w:ilvl w:val="1"/>
          <w:numId w:val="23"/>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mieć charakter demonstracyjny.</w:t>
      </w:r>
    </w:p>
    <w:p w14:paraId="4F923F59" w14:textId="77777777" w:rsidR="000352C3" w:rsidRPr="000352C3" w:rsidRDefault="000352C3" w:rsidP="000352C3">
      <w:pPr>
        <w:spacing w:after="160" w:line="259" w:lineRule="auto"/>
        <w:ind w:left="1440"/>
        <w:rPr>
          <w:rFonts w:asciiTheme="minorHAnsi" w:eastAsiaTheme="minorHAnsi" w:hAnsiTheme="minorHAnsi" w:cstheme="minorBidi"/>
          <w:sz w:val="22"/>
          <w:szCs w:val="22"/>
          <w:lang w:eastAsia="en-US"/>
        </w:rPr>
      </w:pPr>
    </w:p>
    <w:p w14:paraId="389518CB" w14:textId="77777777" w:rsidR="000352C3" w:rsidRPr="000352C3" w:rsidRDefault="000352C3" w:rsidP="000352C3">
      <w:pPr>
        <w:tabs>
          <w:tab w:val="center" w:pos="4536"/>
          <w:tab w:val="right" w:pos="9072"/>
        </w:tabs>
        <w:spacing w:line="276" w:lineRule="auto"/>
        <w:jc w:val="both"/>
        <w:rPr>
          <w:rFonts w:ascii="Calibri" w:hAnsi="Calibri" w:cs="Arial"/>
          <w:sz w:val="22"/>
          <w:szCs w:val="22"/>
        </w:rPr>
      </w:pPr>
      <w:r w:rsidRPr="000352C3">
        <w:rPr>
          <w:rFonts w:ascii="Calibri" w:hAnsi="Calibri" w:cs="Arial"/>
          <w:b/>
          <w:sz w:val="22"/>
          <w:szCs w:val="22"/>
        </w:rPr>
        <w:t>Przez inwestycję publiczną należy rozumieć</w:t>
      </w:r>
      <w:r w:rsidRPr="000352C3">
        <w:rPr>
          <w:rFonts w:ascii="Calibri" w:hAnsi="Calibri" w:cs="Arial"/>
          <w:sz w:val="22"/>
          <w:szCs w:val="22"/>
        </w:rPr>
        <w:t xml:space="preserve"> inwestycję służącą realizacji zadań o charakterze użyteczności publicznej, których celem jest bieżące i nieprzerwane zaspokajanie zbiorowych potrzeb ludności w drodze świadczenia usług powszechnie dostępnych, realizowaną przez jednostkę sektora finansów publicznych lub w jej imieniu. </w:t>
      </w:r>
    </w:p>
    <w:p w14:paraId="4AE4E6F5" w14:textId="77777777" w:rsidR="000352C3" w:rsidRPr="000352C3" w:rsidRDefault="000352C3"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4A7D1C38" w14:textId="77777777" w:rsidR="000352C3" w:rsidRPr="000352C3" w:rsidRDefault="000352C3" w:rsidP="000352C3">
      <w:pPr>
        <w:tabs>
          <w:tab w:val="center" w:pos="4536"/>
          <w:tab w:val="right" w:pos="9072"/>
        </w:tabs>
        <w:spacing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b/>
          <w:sz w:val="22"/>
          <w:szCs w:val="22"/>
          <w:lang w:eastAsia="en-US"/>
        </w:rPr>
        <w:t>Przez podwyższone parametry charakterystyki energetycznej należy rozumieć</w:t>
      </w:r>
      <w:r w:rsidRPr="000352C3">
        <w:rPr>
          <w:rFonts w:asciiTheme="minorHAnsi" w:eastAsiaTheme="minorHAnsi" w:hAnsiTheme="minorHAnsi" w:cstheme="minorBidi"/>
          <w:sz w:val="22"/>
          <w:szCs w:val="22"/>
          <w:lang w:eastAsia="en-US"/>
        </w:rPr>
        <w:t xml:space="preserve"> spełnienie co najmniej wymagań dla budynków użyteczności publicznej, które będą obowiązywały od 1 stycznia 2021 r. </w:t>
      </w:r>
      <w:r w:rsidRPr="000352C3">
        <w:rPr>
          <w:rFonts w:asciiTheme="minorHAnsi" w:eastAsiaTheme="minorHAnsi" w:hAnsiTheme="minorHAnsi" w:cstheme="minorBidi"/>
          <w:sz w:val="22"/>
          <w:szCs w:val="22"/>
          <w:lang w:eastAsia="en-US"/>
        </w:rPr>
        <w:br/>
        <w:t>(od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p>
    <w:p w14:paraId="3CB07AAB" w14:textId="77777777" w:rsidR="000352C3" w:rsidRPr="000352C3" w:rsidRDefault="000352C3" w:rsidP="000352C3">
      <w:pPr>
        <w:tabs>
          <w:tab w:val="center" w:pos="4536"/>
          <w:tab w:val="right" w:pos="9072"/>
        </w:tabs>
        <w:spacing w:line="276" w:lineRule="auto"/>
        <w:jc w:val="both"/>
        <w:rPr>
          <w:rFonts w:ascii="Calibri" w:hAnsi="Calibri" w:cs="Arial"/>
          <w:b/>
          <w:sz w:val="22"/>
          <w:szCs w:val="22"/>
        </w:rPr>
      </w:pPr>
    </w:p>
    <w:p w14:paraId="595EC24B" w14:textId="77777777" w:rsidR="000352C3" w:rsidRPr="000352C3" w:rsidRDefault="000352C3" w:rsidP="000352C3">
      <w:pPr>
        <w:tabs>
          <w:tab w:val="center" w:pos="4536"/>
          <w:tab w:val="right" w:pos="9072"/>
        </w:tabs>
        <w:spacing w:line="276" w:lineRule="auto"/>
        <w:jc w:val="both"/>
        <w:rPr>
          <w:rFonts w:ascii="Calibri" w:hAnsi="Calibri" w:cs="Arial"/>
          <w:sz w:val="22"/>
          <w:szCs w:val="22"/>
        </w:rPr>
      </w:pPr>
      <w:r w:rsidRPr="000352C3">
        <w:rPr>
          <w:rFonts w:ascii="Calibri" w:hAnsi="Calibri" w:cs="Arial"/>
          <w:b/>
          <w:sz w:val="22"/>
          <w:szCs w:val="22"/>
        </w:rPr>
        <w:t>Przez budynek użyteczności publicznej</w:t>
      </w:r>
      <w:r w:rsidRPr="000352C3">
        <w:rPr>
          <w:rFonts w:ascii="Calibri" w:hAnsi="Calibri" w:cs="Arial"/>
          <w:sz w:val="22"/>
          <w:szCs w:val="22"/>
        </w:rPr>
        <w:t xml:space="preserve"> </w:t>
      </w:r>
      <w:r w:rsidRPr="000352C3">
        <w:rPr>
          <w:rFonts w:ascii="Calibri" w:hAnsi="Calibri" w:cs="Arial"/>
          <w:b/>
          <w:sz w:val="22"/>
          <w:szCs w:val="22"/>
        </w:rPr>
        <w:t>należy rozumieć</w:t>
      </w:r>
      <w:r w:rsidRPr="000352C3">
        <w:rPr>
          <w:rFonts w:ascii="Calibri" w:hAnsi="Calibri" w:cs="Arial"/>
          <w:sz w:val="22"/>
          <w:szCs w:val="22"/>
        </w:rPr>
        <w:t xml:space="preserve"> budynek zgodnie z definicją ujętą </w:t>
      </w:r>
      <w:r w:rsidRPr="000352C3">
        <w:rPr>
          <w:rFonts w:ascii="Calibri" w:hAnsi="Calibri" w:cs="Arial"/>
          <w:sz w:val="22"/>
          <w:szCs w:val="22"/>
        </w:rPr>
        <w:br/>
        <w:t xml:space="preserve">w Rozporządzeniu Ministra Infrastruktury z dnia 12 kwietnia 2002 r. w sprawie warunków technicznych, jakim powinny odpowiadać budynki i ich usytuowanie (Dz. U. z dnia 15 czerwca 2002 r. z </w:t>
      </w:r>
      <w:proofErr w:type="spellStart"/>
      <w:r w:rsidRPr="000352C3">
        <w:rPr>
          <w:rFonts w:ascii="Calibri" w:hAnsi="Calibri" w:cs="Arial"/>
          <w:sz w:val="22"/>
          <w:szCs w:val="22"/>
        </w:rPr>
        <w:t>poźn</w:t>
      </w:r>
      <w:proofErr w:type="spellEnd"/>
      <w:r w:rsidRPr="000352C3">
        <w:rPr>
          <w:rFonts w:ascii="Calibri" w:hAnsi="Calibri" w:cs="Arial"/>
          <w:sz w:val="22"/>
          <w:szCs w:val="22"/>
        </w:rPr>
        <w:t>. zm.). Jeśli budynek zamieszkania zbiorowego spełnia jednocześnie definicję budynku użyteczności publicznej, również może być przedmiotem projektu.</w:t>
      </w:r>
    </w:p>
    <w:p w14:paraId="23509EB9" w14:textId="77777777" w:rsidR="000352C3" w:rsidRPr="000352C3" w:rsidRDefault="000352C3" w:rsidP="000352C3">
      <w:pPr>
        <w:tabs>
          <w:tab w:val="center" w:pos="4536"/>
          <w:tab w:val="right" w:pos="9072"/>
        </w:tabs>
        <w:spacing w:line="276" w:lineRule="auto"/>
        <w:jc w:val="both"/>
        <w:rPr>
          <w:rFonts w:ascii="Calibri" w:hAnsi="Calibri" w:cs="Arial"/>
          <w:sz w:val="22"/>
          <w:szCs w:val="22"/>
        </w:rPr>
      </w:pPr>
    </w:p>
    <w:p w14:paraId="66E5F320" w14:textId="77777777" w:rsidR="000352C3" w:rsidRPr="000352C3" w:rsidRDefault="000352C3" w:rsidP="000352C3">
      <w:pPr>
        <w:tabs>
          <w:tab w:val="center" w:pos="4536"/>
          <w:tab w:val="right" w:pos="9072"/>
        </w:tabs>
        <w:spacing w:line="276" w:lineRule="auto"/>
        <w:jc w:val="both"/>
        <w:rPr>
          <w:rFonts w:ascii="Calibri" w:hAnsi="Calibri" w:cs="Arial"/>
          <w:sz w:val="22"/>
          <w:szCs w:val="22"/>
        </w:rPr>
      </w:pPr>
      <w:r w:rsidRPr="000352C3">
        <w:rPr>
          <w:rFonts w:ascii="Calibri" w:hAnsi="Calibri" w:cs="Arial"/>
          <w:b/>
          <w:sz w:val="22"/>
          <w:szCs w:val="22"/>
        </w:rPr>
        <w:t>Demonstracyjny charakter projektu</w:t>
      </w:r>
      <w:r w:rsidRPr="000352C3">
        <w:rPr>
          <w:rFonts w:ascii="Calibri" w:hAnsi="Calibri" w:cs="Arial"/>
          <w:sz w:val="22"/>
          <w:szCs w:val="22"/>
        </w:rPr>
        <w:t xml:space="preserve"> </w:t>
      </w:r>
      <w:r w:rsidRPr="000352C3">
        <w:rPr>
          <w:rFonts w:ascii="Calibri" w:hAnsi="Calibri" w:cs="Arial"/>
          <w:b/>
          <w:sz w:val="22"/>
          <w:szCs w:val="22"/>
        </w:rPr>
        <w:t>oznacza, że</w:t>
      </w:r>
      <w:r w:rsidRPr="000352C3">
        <w:rPr>
          <w:rFonts w:ascii="Calibri" w:hAnsi="Calibri" w:cs="Arial"/>
          <w:sz w:val="22"/>
          <w:szCs w:val="22"/>
        </w:rPr>
        <w:t xml:space="preserve"> 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w:t>
      </w:r>
      <w:r w:rsidRPr="000352C3">
        <w:rPr>
          <w:rFonts w:ascii="Calibri" w:hAnsi="Calibri" w:cs="Arial"/>
          <w:sz w:val="22"/>
          <w:szCs w:val="22"/>
        </w:rPr>
        <w:lastRenderedPageBreak/>
        <w:t>użyteczności publicznej musi na żądanie IZ lub innej uprawnionej instytucji udowodnić pełnienie funkcji demonstracyjnej, np. poprzez rejestr wizyt.</w:t>
      </w:r>
    </w:p>
    <w:p w14:paraId="1EACFD40" w14:textId="77777777" w:rsidR="000352C3" w:rsidRPr="000352C3" w:rsidRDefault="000352C3" w:rsidP="000352C3">
      <w:pPr>
        <w:spacing w:before="240"/>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Projekt polegający na modernizacji energetycznej budynku opartej o system zarządzania energią może dotyczyć m.in.:</w:t>
      </w:r>
    </w:p>
    <w:p w14:paraId="6D7C45EE" w14:textId="7DCB1C82" w:rsidR="000352C3" w:rsidRPr="008A4588" w:rsidRDefault="000352C3" w:rsidP="008A4588">
      <w:pPr>
        <w:pStyle w:val="Akapitzlist"/>
        <w:numPr>
          <w:ilvl w:val="1"/>
          <w:numId w:val="17"/>
        </w:numPr>
        <w:spacing w:line="276" w:lineRule="auto"/>
        <w:jc w:val="both"/>
      </w:pPr>
      <w:r w:rsidRPr="000352C3">
        <w:rPr>
          <w:rFonts w:ascii="Calibri" w:eastAsia="SimSun" w:hAnsi="Calibri" w:cs="Arial"/>
          <w:color w:val="000000" w:themeColor="text1"/>
          <w:sz w:val="22"/>
          <w:szCs w:val="22"/>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0352C3">
        <w:rPr>
          <w:rFonts w:ascii="Calibri" w:eastAsia="SimSun" w:hAnsi="Calibri" w:cs="Arial"/>
          <w:color w:val="000000" w:themeColor="text1"/>
          <w:sz w:val="22"/>
          <w:szCs w:val="22"/>
        </w:rPr>
        <w:t>oszkleń</w:t>
      </w:r>
      <w:proofErr w:type="spellEnd"/>
      <w:r w:rsidRPr="000352C3">
        <w:rPr>
          <w:rFonts w:ascii="Calibri" w:eastAsia="SimSun" w:hAnsi="Calibri" w:cs="Arial"/>
          <w:color w:val="000000" w:themeColor="text1"/>
          <w:sz w:val="22"/>
          <w:szCs w:val="22"/>
        </w:rPr>
        <w:t xml:space="preserve"> w budynkach na efektywne energetycznie, likwidacja liniowych i punktowych mostków cieplnych, uzupełniająco do powyższych prac - montaż urządzeń zacieniających okna (np. rolety, żaluzje) – </w:t>
      </w:r>
      <w:r w:rsidRPr="000352C3">
        <w:rPr>
          <w:rFonts w:ascii="Calibri" w:eastAsia="SimSun" w:hAnsi="Calibri" w:cs="Arial"/>
          <w:b/>
          <w:color w:val="000000" w:themeColor="text1"/>
          <w:sz w:val="22"/>
          <w:szCs w:val="22"/>
        </w:rPr>
        <w:t>tzw. komponent termomodernizacyjny</w:t>
      </w:r>
      <w:r w:rsidR="00567407">
        <w:rPr>
          <w:rFonts w:ascii="Calibri" w:eastAsia="SimSun" w:hAnsi="Calibri" w:cs="Arial"/>
          <w:color w:val="000000" w:themeColor="text1"/>
          <w:sz w:val="22"/>
          <w:szCs w:val="22"/>
        </w:rPr>
        <w:t xml:space="preserve">. </w:t>
      </w:r>
      <w:r w:rsidR="00567407" w:rsidRPr="00567407">
        <w:rPr>
          <w:rFonts w:asciiTheme="minorHAnsi" w:hAnsiTheme="minorHAnsi"/>
        </w:rPr>
        <w:t xml:space="preserve">Dofinansowanie uzyskają projekty, których efektem realizacji będzie oszczędność energii końcowej na cele ogrzewania na poziomie nie mniejszym niż 25% w stosunku do sytuacji wyjściowej określonej przez audyt energetyczny oraz zapewniające </w:t>
      </w:r>
      <w:r w:rsidR="00567407" w:rsidRPr="008A4588">
        <w:rPr>
          <w:rFonts w:asciiTheme="minorHAnsi" w:hAnsiTheme="minorHAnsi"/>
        </w:rPr>
        <w:t>osiągnięcie podwyższonych parametrów charakterystyki energetycznej w budynku</w:t>
      </w:r>
      <w:r w:rsidR="00567407" w:rsidRPr="00567407">
        <w:rPr>
          <w:rFonts w:asciiTheme="minorHAnsi" w:hAnsiTheme="minorHAnsi"/>
        </w:rPr>
        <w:t>;</w:t>
      </w:r>
    </w:p>
    <w:p w14:paraId="5393B8D1" w14:textId="73EE1B81"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0352C3">
        <w:rPr>
          <w:rFonts w:ascii="Calibri" w:eastAsia="SimSun" w:hAnsi="Calibri" w:cs="Arial"/>
          <w:color w:val="000000" w:themeColor="text1"/>
          <w:sz w:val="22"/>
          <w:szCs w:val="22"/>
          <w:vertAlign w:val="subscript"/>
        </w:rPr>
        <w:t>2</w:t>
      </w:r>
      <w:r w:rsidRPr="000352C3">
        <w:rPr>
          <w:rFonts w:ascii="Calibri" w:eastAsia="SimSun" w:hAnsi="Calibri" w:cs="Arial"/>
          <w:color w:val="000000" w:themeColor="text1"/>
          <w:sz w:val="22"/>
          <w:szCs w:val="22"/>
        </w:rPr>
        <w:t xml:space="preserve"> </w:t>
      </w:r>
      <w:r w:rsidR="00567407">
        <w:rPr>
          <w:rFonts w:ascii="Calibri" w:eastAsia="SimSun" w:hAnsi="Calibri" w:cs="Arial"/>
          <w:color w:val="000000" w:themeColor="text1"/>
          <w:sz w:val="22"/>
          <w:szCs w:val="22"/>
        </w:rPr>
        <w:t xml:space="preserve">(w przypadku zmiany paliwa – co najmniej o 30%) </w:t>
      </w:r>
      <w:r w:rsidRPr="000352C3">
        <w:rPr>
          <w:rFonts w:ascii="Calibri" w:eastAsia="SimSun" w:hAnsi="Calibri" w:cs="Arial"/>
          <w:color w:val="000000" w:themeColor="text1"/>
          <w:sz w:val="22"/>
          <w:szCs w:val="22"/>
        </w:rPr>
        <w:t>i innych zanieczyszczeń powietrza, takich jak pyły zawieszone PM 10 i PM 2,5  oraz do znacznego zwiększenia oszczędności energii. Wymiana kotła może zostać wsparta jedynie</w:t>
      </w:r>
      <w:r w:rsidR="008A4588">
        <w:rPr>
          <w:rFonts w:ascii="Calibri" w:eastAsia="SimSun" w:hAnsi="Calibri" w:cs="Arial"/>
          <w:color w:val="000000" w:themeColor="text1"/>
          <w:sz w:val="22"/>
          <w:szCs w:val="22"/>
        </w:rPr>
        <w:t xml:space="preserve"> </w:t>
      </w:r>
      <w:r w:rsidRPr="000352C3">
        <w:rPr>
          <w:rFonts w:ascii="Calibri" w:eastAsia="SimSun" w:hAnsi="Calibri" w:cs="Arial"/>
          <w:color w:val="000000" w:themeColor="text1"/>
          <w:sz w:val="22"/>
          <w:szCs w:val="22"/>
        </w:rPr>
        <w:t>w przypadku, gdy podłączenie do sieci ciepłowniczej na danym obszarze nie jest uzasadnione ekonomicznie lub technicznie niemożliwe;</w:t>
      </w:r>
    </w:p>
    <w:p w14:paraId="6525FF6B" w14:textId="77777777" w:rsidR="000352C3" w:rsidRPr="000352C3" w:rsidRDefault="000352C3" w:rsidP="000352C3">
      <w:pPr>
        <w:spacing w:after="160" w:line="259" w:lineRule="auto"/>
        <w:ind w:left="1016"/>
        <w:rPr>
          <w:rFonts w:asciiTheme="minorHAnsi" w:eastAsiaTheme="minorHAnsi" w:hAnsiTheme="minorHAnsi" w:cstheme="minorBidi"/>
          <w:sz w:val="22"/>
          <w:szCs w:val="22"/>
          <w:lang w:eastAsia="en-US"/>
        </w:rPr>
      </w:pPr>
    </w:p>
    <w:p w14:paraId="7DC48F5F" w14:textId="77777777" w:rsidR="000352C3" w:rsidRPr="000352C3" w:rsidRDefault="000352C3" w:rsidP="000352C3">
      <w:pPr>
        <w:spacing w:after="160" w:line="259" w:lineRule="auto"/>
        <w:ind w:firstLine="284"/>
        <w:rPr>
          <w:rFonts w:asciiTheme="minorHAnsi" w:eastAsiaTheme="minorHAnsi" w:hAnsiTheme="minorHAnsi" w:cstheme="minorBidi"/>
          <w:b/>
          <w:sz w:val="22"/>
          <w:szCs w:val="22"/>
          <w:lang w:eastAsia="en-US"/>
        </w:rPr>
      </w:pPr>
      <w:r w:rsidRPr="000352C3">
        <w:rPr>
          <w:rFonts w:asciiTheme="minorHAnsi" w:eastAsiaTheme="minorHAnsi" w:hAnsiTheme="minorHAnsi" w:cstheme="minorBidi"/>
          <w:b/>
          <w:sz w:val="22"/>
          <w:szCs w:val="22"/>
          <w:lang w:eastAsia="en-US"/>
        </w:rPr>
        <w:t xml:space="preserve">UWAGA: </w:t>
      </w:r>
    </w:p>
    <w:p w14:paraId="78BD381A" w14:textId="77777777" w:rsidR="000352C3" w:rsidRPr="000352C3" w:rsidRDefault="000352C3" w:rsidP="000352C3">
      <w:pPr>
        <w:spacing w:after="160" w:line="259" w:lineRule="auto"/>
        <w:ind w:left="284"/>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u w:val="single"/>
          <w:lang w:eastAsia="en-US"/>
        </w:rPr>
        <w:t xml:space="preserve">Wymiana wysokoemisyjnego źródła ciepła musi spełniać wszystkie warunki określone </w:t>
      </w:r>
      <w:r w:rsidRPr="000352C3">
        <w:rPr>
          <w:rFonts w:asciiTheme="minorHAnsi" w:eastAsiaTheme="minorHAnsi" w:hAnsiTheme="minorHAnsi" w:cstheme="minorBidi"/>
          <w:sz w:val="22"/>
          <w:szCs w:val="22"/>
          <w:u w:val="single"/>
          <w:lang w:eastAsia="en-US"/>
        </w:rPr>
        <w:br/>
        <w:t xml:space="preserve">w kryterium „Wymiana źródła ciepła”; </w:t>
      </w:r>
    </w:p>
    <w:p w14:paraId="0E1E42BF" w14:textId="77777777"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modernizacja przyłącza do sieci ciepłowniczej; </w:t>
      </w:r>
    </w:p>
    <w:p w14:paraId="39F35242" w14:textId="77777777"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modernizacji systemów wentylacji (w tym z odzyskiem ciepła),  modernizacji i/lub instalacji systemów klimatyzacji; </w:t>
      </w:r>
    </w:p>
    <w:p w14:paraId="46A782A5" w14:textId="77777777"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instalacji OZE – (np. na potrzeby pozyskiwania ciepłej wody użytkowej lub wytwarzania energii elektrycznej), jeśli wynika z audytu (z wyłączeniem źródeł w układzie wysokosprawnej kogeneracji i </w:t>
      </w:r>
      <w:proofErr w:type="spellStart"/>
      <w:r w:rsidRPr="000352C3">
        <w:rPr>
          <w:rFonts w:ascii="Calibri" w:eastAsia="SimSun" w:hAnsi="Calibri" w:cs="Arial"/>
          <w:color w:val="000000" w:themeColor="text1"/>
          <w:sz w:val="22"/>
          <w:szCs w:val="22"/>
        </w:rPr>
        <w:t>trigeneracji</w:t>
      </w:r>
      <w:proofErr w:type="spellEnd"/>
      <w:r w:rsidRPr="000352C3">
        <w:rPr>
          <w:rFonts w:ascii="Calibri" w:eastAsia="SimSun" w:hAnsi="Calibri" w:cs="Arial"/>
          <w:color w:val="000000" w:themeColor="text1"/>
          <w:sz w:val="22"/>
          <w:szCs w:val="22"/>
        </w:rPr>
        <w:t xml:space="preserve">) na potrzeby modernizowanych energetycznie budynków. W przypadku instalacji do produkcji energii elektrycznej np. fotowoltaicznej czy wykorzystującej siłę wiatru dopuszcza się </w:t>
      </w:r>
      <w:proofErr w:type="spellStart"/>
      <w:r w:rsidRPr="000352C3">
        <w:rPr>
          <w:rFonts w:ascii="Calibri" w:eastAsia="SimSun" w:hAnsi="Calibri" w:cs="Arial"/>
          <w:color w:val="000000" w:themeColor="text1"/>
          <w:sz w:val="22"/>
          <w:szCs w:val="22"/>
        </w:rPr>
        <w:t>mikroinstalacje</w:t>
      </w:r>
      <w:proofErr w:type="spellEnd"/>
      <w:r w:rsidR="0099049C" w:rsidRPr="000352C3">
        <w:rPr>
          <w:rFonts w:ascii="Calibri" w:eastAsia="SimSun" w:hAnsi="Calibri" w:cs="Arial"/>
          <w:color w:val="000000" w:themeColor="text1"/>
          <w:sz w:val="22"/>
          <w:szCs w:val="22"/>
          <w:vertAlign w:val="superscript"/>
        </w:rPr>
        <w:footnoteReference w:id="2"/>
      </w:r>
      <w:r w:rsidRPr="000352C3">
        <w:rPr>
          <w:rFonts w:ascii="Calibri" w:eastAsia="SimSun" w:hAnsi="Calibri" w:cs="Arial"/>
          <w:color w:val="000000" w:themeColor="text1"/>
          <w:sz w:val="22"/>
          <w:szCs w:val="22"/>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234BD786" w14:textId="77777777"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0352C3">
        <w:rPr>
          <w:rFonts w:ascii="Calibri" w:eastAsia="SimSun" w:hAnsi="Calibri" w:cs="Arial"/>
          <w:color w:val="000000" w:themeColor="text1"/>
          <w:sz w:val="22"/>
          <w:szCs w:val="22"/>
        </w:rPr>
        <w:t>podpionowe</w:t>
      </w:r>
      <w:proofErr w:type="spellEnd"/>
      <w:r w:rsidRPr="000352C3">
        <w:rPr>
          <w:rFonts w:ascii="Calibri" w:eastAsia="SimSun" w:hAnsi="Calibri" w:cs="Arial"/>
          <w:color w:val="000000" w:themeColor="text1"/>
          <w:sz w:val="22"/>
          <w:szCs w:val="22"/>
        </w:rPr>
        <w:t xml:space="preserve"> itp.) mające na celu zmniejszenie zużycia energii poprzez dostosowanie mocy urządzeń do bieżącego zapotrzebowania – </w:t>
      </w:r>
      <w:r w:rsidRPr="000352C3">
        <w:rPr>
          <w:rFonts w:ascii="Calibri" w:eastAsia="SimSun" w:hAnsi="Calibri" w:cs="Arial"/>
          <w:b/>
          <w:color w:val="000000" w:themeColor="text1"/>
          <w:sz w:val="22"/>
          <w:szCs w:val="22"/>
        </w:rPr>
        <w:t>tzw. komponent zarządzania energią</w:t>
      </w:r>
      <w:r w:rsidRPr="000352C3">
        <w:rPr>
          <w:rFonts w:ascii="Calibri" w:eastAsia="SimSun" w:hAnsi="Calibri" w:cs="Arial"/>
          <w:color w:val="000000" w:themeColor="text1"/>
          <w:sz w:val="22"/>
          <w:szCs w:val="22"/>
        </w:rPr>
        <w:t>;</w:t>
      </w:r>
    </w:p>
    <w:p w14:paraId="2F97F284" w14:textId="77777777"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element uzupełniający projektu (którego wartość nie przekroczy 10% wartości wydatków kwalifikowalnych niezależnie od liczby budynków w projekcie) może stanowić wymiana oświetlenia oraz urządzeń i instalacji na potrzeby  </w:t>
      </w:r>
      <w:proofErr w:type="spellStart"/>
      <w:r w:rsidRPr="000352C3">
        <w:rPr>
          <w:rFonts w:ascii="Calibri" w:eastAsia="SimSun" w:hAnsi="Calibri" w:cs="Arial"/>
          <w:color w:val="000000" w:themeColor="text1"/>
          <w:sz w:val="22"/>
          <w:szCs w:val="22"/>
        </w:rPr>
        <w:t>termomodernizowanego</w:t>
      </w:r>
      <w:proofErr w:type="spellEnd"/>
      <w:r w:rsidRPr="000352C3">
        <w:rPr>
          <w:rFonts w:ascii="Calibri" w:eastAsia="SimSun" w:hAnsi="Calibri" w:cs="Arial"/>
          <w:color w:val="000000" w:themeColor="text1"/>
          <w:sz w:val="22"/>
          <w:szCs w:val="22"/>
        </w:rPr>
        <w:t xml:space="preserv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 przy czym należy zapewnić, że nowo instalowane urządzenia zużywają mniej energii od dotychczasowych co najmniej o 25% (wymiana urządzeń elektrycznych nie dotyczy nowo budowanych budynków);</w:t>
      </w:r>
    </w:p>
    <w:p w14:paraId="733F8CB0" w14:textId="77777777" w:rsidR="000352C3" w:rsidRPr="000352C3" w:rsidRDefault="000352C3" w:rsidP="000352C3">
      <w:pPr>
        <w:numPr>
          <w:ilvl w:val="1"/>
          <w:numId w:val="17"/>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b/>
          <w:color w:val="000000" w:themeColor="text1"/>
          <w:sz w:val="22"/>
          <w:szCs w:val="22"/>
        </w:rPr>
        <w:t>komponent edukacyjny,</w:t>
      </w:r>
      <w:r w:rsidRPr="000352C3">
        <w:rPr>
          <w:rFonts w:ascii="Calibri" w:eastAsia="SimSun" w:hAnsi="Calibri" w:cs="Arial"/>
          <w:color w:val="000000" w:themeColor="text1"/>
          <w:sz w:val="22"/>
          <w:szCs w:val="22"/>
        </w:rPr>
        <w:t xml:space="preserve"> czyli odpowiednie przeszkolenie osób użytkujących budynek </w:t>
      </w:r>
      <w:r w:rsidRPr="000352C3">
        <w:rPr>
          <w:rFonts w:ascii="Calibri" w:eastAsia="SimSun" w:hAnsi="Calibri" w:cs="Arial"/>
          <w:color w:val="000000" w:themeColor="text1"/>
          <w:sz w:val="22"/>
          <w:szCs w:val="22"/>
        </w:rPr>
        <w:br/>
        <w:t xml:space="preserve">z obsługi urządzeń/systemów np. do ogrzewania, wentylacji czy klimatyzacji co jest konieczne dla osiągnięcia i utrzymania zakładanych oszczędności energii (np. z obsługi zaworów termostatycznych i/lub korzystania z wentylacji z odzyskiem ciepła), ale </w:t>
      </w:r>
      <w:r w:rsidRPr="000352C3">
        <w:rPr>
          <w:rFonts w:ascii="Calibri" w:eastAsia="SimSun" w:hAnsi="Calibri" w:cs="Arial"/>
          <w:color w:val="000000" w:themeColor="text1"/>
          <w:sz w:val="22"/>
          <w:szCs w:val="22"/>
        </w:rPr>
        <w:br/>
        <w:t>z odniesieniem do szerszego kontekstu projektu, wskazując na jego walor ekologiczny. Należy również umieścić na okres trwałości projektu w widocznym miejscu 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 (funkcja demonstracyjna).</w:t>
      </w:r>
    </w:p>
    <w:p w14:paraId="68053ADD" w14:textId="77777777" w:rsidR="000352C3" w:rsidRPr="000352C3" w:rsidRDefault="000352C3" w:rsidP="000352C3">
      <w:pPr>
        <w:tabs>
          <w:tab w:val="center" w:pos="4536"/>
          <w:tab w:val="right" w:pos="9072"/>
        </w:tabs>
        <w:spacing w:line="276" w:lineRule="auto"/>
        <w:jc w:val="both"/>
        <w:rPr>
          <w:rFonts w:asciiTheme="minorHAnsi" w:eastAsiaTheme="minorHAnsi" w:hAnsiTheme="minorHAnsi" w:cs="Calibri"/>
          <w:b/>
          <w:sz w:val="22"/>
          <w:szCs w:val="22"/>
          <w:u w:val="single"/>
          <w:lang w:eastAsia="en-US"/>
        </w:rPr>
      </w:pPr>
    </w:p>
    <w:p w14:paraId="2BB0251A" w14:textId="77777777" w:rsidR="000352C3" w:rsidRPr="000352C3" w:rsidRDefault="000352C3" w:rsidP="000352C3">
      <w:pPr>
        <w:spacing w:line="276" w:lineRule="auto"/>
        <w:jc w:val="both"/>
        <w:rPr>
          <w:rFonts w:asciiTheme="minorHAnsi" w:eastAsiaTheme="minorHAnsi" w:hAnsiTheme="minorHAnsi" w:cstheme="minorBidi"/>
          <w:b/>
          <w:sz w:val="22"/>
          <w:szCs w:val="22"/>
          <w:u w:val="single"/>
          <w:lang w:eastAsia="en-US"/>
        </w:rPr>
      </w:pPr>
      <w:r w:rsidRPr="000352C3">
        <w:rPr>
          <w:rFonts w:asciiTheme="minorHAnsi" w:eastAsiaTheme="minorHAnsi" w:hAnsiTheme="minorHAnsi" w:cstheme="minorBidi"/>
          <w:b/>
          <w:sz w:val="22"/>
          <w:szCs w:val="22"/>
          <w:u w:val="single"/>
          <w:lang w:eastAsia="en-US"/>
        </w:rPr>
        <w:t>W przypadku termomodernizacji obiektów, dofinansowanie uzyskają projekty, które zawierają wszystkie obowiązkowe komponenty:</w:t>
      </w:r>
    </w:p>
    <w:p w14:paraId="1F8C10BE" w14:textId="77777777" w:rsidR="000352C3" w:rsidRPr="000352C3" w:rsidRDefault="000352C3" w:rsidP="000352C3">
      <w:pPr>
        <w:numPr>
          <w:ilvl w:val="0"/>
          <w:numId w:val="18"/>
        </w:numPr>
        <w:spacing w:after="160" w:line="276" w:lineRule="auto"/>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b/>
          <w:sz w:val="22"/>
          <w:szCs w:val="22"/>
          <w:lang w:eastAsia="en-US"/>
        </w:rPr>
        <w:t>termomodernizacyjny</w:t>
      </w:r>
      <w:r w:rsidRPr="000352C3">
        <w:rPr>
          <w:rFonts w:asciiTheme="minorHAnsi" w:eastAsiaTheme="minorHAnsi" w:hAnsiTheme="minorHAnsi" w:cstheme="minorBidi"/>
          <w:sz w:val="22"/>
          <w:szCs w:val="22"/>
          <w:lang w:eastAsia="en-US"/>
        </w:rPr>
        <w:t xml:space="preserve"> (przy czym </w:t>
      </w:r>
      <w:r w:rsidRPr="000352C3">
        <w:rPr>
          <w:rFonts w:asciiTheme="minorHAnsi" w:eastAsiaTheme="minorHAnsi" w:hAnsiTheme="minorHAnsi" w:cstheme="minorBidi"/>
          <w:b/>
          <w:sz w:val="22"/>
          <w:szCs w:val="22"/>
          <w:lang w:eastAsia="en-US"/>
        </w:rPr>
        <w:t>oszczędność energii w budynku w wyniku inwestycji musi wynieść co najmniej 25%</w:t>
      </w:r>
      <w:r w:rsidRPr="000352C3">
        <w:rPr>
          <w:rFonts w:asciiTheme="minorHAnsi" w:eastAsiaTheme="minorHAnsi" w:hAnsiTheme="minorHAnsi" w:cstheme="minorBidi"/>
          <w:sz w:val="22"/>
          <w:szCs w:val="22"/>
          <w:lang w:eastAsia="en-US"/>
        </w:rPr>
        <w:t xml:space="preserve">, zgodnie z audytem energetycznym/efektywności energetycznej </w:t>
      </w:r>
      <w:r w:rsidRPr="000352C3">
        <w:rPr>
          <w:rFonts w:asciiTheme="minorHAnsi" w:eastAsiaTheme="minorHAnsi" w:hAnsiTheme="minorHAnsi" w:cstheme="minorBidi"/>
          <w:sz w:val="22"/>
          <w:szCs w:val="22"/>
          <w:lang w:eastAsia="en-US"/>
        </w:rPr>
        <w:br/>
        <w:t>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14:paraId="5B6B08A3" w14:textId="77777777" w:rsidR="000352C3" w:rsidRPr="000352C3" w:rsidRDefault="000352C3" w:rsidP="000352C3">
      <w:pPr>
        <w:numPr>
          <w:ilvl w:val="0"/>
          <w:numId w:val="18"/>
        </w:numPr>
        <w:spacing w:after="160" w:line="276" w:lineRule="auto"/>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b/>
          <w:sz w:val="22"/>
          <w:szCs w:val="22"/>
          <w:lang w:eastAsia="en-US"/>
        </w:rPr>
        <w:t>zarządzania energią</w:t>
      </w:r>
      <w:r w:rsidRPr="000352C3">
        <w:rPr>
          <w:rFonts w:asciiTheme="minorHAnsi" w:eastAsiaTheme="minorHAnsi" w:hAnsiTheme="minorHAnsi" w:cstheme="minorBidi"/>
          <w:sz w:val="22"/>
          <w:szCs w:val="22"/>
          <w:lang w:eastAsia="en-US"/>
        </w:rPr>
        <w:t xml:space="preserve"> (wymagany jest co najmniej najprostszy system zarządzania energią, np. </w:t>
      </w:r>
      <w:r w:rsidRPr="000352C3">
        <w:rPr>
          <w:rFonts w:asciiTheme="minorHAnsi" w:eastAsiaTheme="minorHAnsi" w:hAnsiTheme="minorHAnsi" w:cstheme="minorBidi"/>
          <w:sz w:val="22"/>
          <w:szCs w:val="22"/>
          <w:lang w:eastAsia="en-US"/>
        </w:rPr>
        <w:br/>
        <w:t xml:space="preserve">w postaci grzejnikowych zaworów termostatycznych, indywidualnych liczników ciepła, ciepłej wody użytkowej, chłodu i zaworów </w:t>
      </w:r>
      <w:proofErr w:type="spellStart"/>
      <w:r w:rsidRPr="000352C3">
        <w:rPr>
          <w:rFonts w:asciiTheme="minorHAnsi" w:eastAsiaTheme="minorHAnsi" w:hAnsiTheme="minorHAnsi" w:cstheme="minorBidi"/>
          <w:sz w:val="22"/>
          <w:szCs w:val="22"/>
          <w:lang w:eastAsia="en-US"/>
        </w:rPr>
        <w:t>podpionowych</w:t>
      </w:r>
      <w:proofErr w:type="spellEnd"/>
      <w:r w:rsidRPr="000352C3">
        <w:rPr>
          <w:rFonts w:asciiTheme="minorHAnsi" w:eastAsiaTheme="minorHAnsi" w:hAnsiTheme="minorHAnsi" w:cstheme="minorBidi"/>
          <w:sz w:val="22"/>
          <w:szCs w:val="22"/>
          <w:lang w:eastAsia="en-US"/>
        </w:rPr>
        <w:t>, automatyki pogodowej lub innych urządzeń pozwalających dostosować zużycie energii do zapotrzebowania); chyba że w obiekcie w którym realizowany jest projekt taki system już istnieje (co potwierdza audyt energetyczny/audyt efektywności energetycznej);</w:t>
      </w:r>
    </w:p>
    <w:p w14:paraId="34373739" w14:textId="77777777" w:rsidR="000352C3" w:rsidRPr="000352C3" w:rsidRDefault="000352C3" w:rsidP="000352C3">
      <w:pPr>
        <w:numPr>
          <w:ilvl w:val="0"/>
          <w:numId w:val="18"/>
        </w:numPr>
        <w:spacing w:after="160" w:line="276" w:lineRule="auto"/>
        <w:ind w:left="317"/>
        <w:jc w:val="both"/>
        <w:rPr>
          <w:rFonts w:asciiTheme="minorHAnsi" w:eastAsiaTheme="minorHAnsi" w:hAnsiTheme="minorHAnsi" w:cstheme="minorBidi"/>
          <w:b/>
          <w:sz w:val="22"/>
          <w:szCs w:val="22"/>
          <w:lang w:eastAsia="en-US"/>
        </w:rPr>
      </w:pPr>
      <w:r w:rsidRPr="000352C3">
        <w:rPr>
          <w:rFonts w:asciiTheme="minorHAnsi" w:eastAsiaTheme="minorHAnsi" w:hAnsiTheme="minorHAnsi" w:cstheme="minorBidi"/>
          <w:b/>
          <w:sz w:val="22"/>
          <w:szCs w:val="22"/>
          <w:lang w:eastAsia="en-US"/>
        </w:rPr>
        <w:t>edukacyjny z funkcją demonstracyjną.</w:t>
      </w:r>
    </w:p>
    <w:p w14:paraId="454E4FA9" w14:textId="77777777" w:rsidR="000352C3" w:rsidRPr="000352C3" w:rsidRDefault="000352C3" w:rsidP="000352C3">
      <w:pPr>
        <w:spacing w:line="276" w:lineRule="auto"/>
        <w:jc w:val="both"/>
        <w:rPr>
          <w:rFonts w:asciiTheme="minorHAnsi" w:eastAsiaTheme="minorHAnsi" w:hAnsiTheme="minorHAnsi" w:cstheme="minorBidi"/>
          <w:sz w:val="22"/>
          <w:szCs w:val="22"/>
          <w:u w:val="single"/>
          <w:lang w:eastAsia="en-US"/>
        </w:rPr>
      </w:pPr>
    </w:p>
    <w:p w14:paraId="6852EAF2" w14:textId="77777777" w:rsidR="000352C3" w:rsidRPr="000352C3" w:rsidRDefault="000352C3" w:rsidP="000352C3">
      <w:pPr>
        <w:spacing w:line="276" w:lineRule="auto"/>
        <w:jc w:val="both"/>
        <w:rPr>
          <w:rFonts w:asciiTheme="minorHAnsi" w:eastAsiaTheme="minorHAnsi" w:hAnsiTheme="minorHAnsi" w:cstheme="minorBidi"/>
          <w:b/>
          <w:sz w:val="22"/>
          <w:szCs w:val="22"/>
          <w:u w:val="single"/>
          <w:lang w:eastAsia="en-US"/>
        </w:rPr>
      </w:pPr>
      <w:r w:rsidRPr="000352C3">
        <w:rPr>
          <w:rFonts w:asciiTheme="minorHAnsi" w:eastAsiaTheme="minorHAnsi" w:hAnsiTheme="minorHAnsi" w:cstheme="minorBidi"/>
          <w:b/>
          <w:sz w:val="22"/>
          <w:szCs w:val="22"/>
          <w:u w:val="single"/>
          <w:lang w:eastAsia="en-US"/>
        </w:rPr>
        <w:t>W przypadku budynków nowo budowanych należy zapewnić:</w:t>
      </w:r>
    </w:p>
    <w:p w14:paraId="500C3CF9" w14:textId="77777777" w:rsidR="000352C3" w:rsidRPr="000352C3" w:rsidRDefault="000352C3" w:rsidP="000352C3">
      <w:pPr>
        <w:numPr>
          <w:ilvl w:val="0"/>
          <w:numId w:val="19"/>
        </w:numPr>
        <w:spacing w:after="160"/>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podwyższone parametry charakterystyki energetycznej;</w:t>
      </w:r>
    </w:p>
    <w:p w14:paraId="008C0E5A" w14:textId="77777777" w:rsidR="000352C3" w:rsidRPr="000352C3" w:rsidRDefault="000352C3" w:rsidP="000352C3">
      <w:pPr>
        <w:numPr>
          <w:ilvl w:val="0"/>
          <w:numId w:val="19"/>
        </w:numPr>
        <w:spacing w:after="160"/>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komponent zarządzania energią;</w:t>
      </w:r>
    </w:p>
    <w:p w14:paraId="180F49C5" w14:textId="77777777" w:rsidR="000352C3" w:rsidRPr="000352C3" w:rsidRDefault="000352C3" w:rsidP="000352C3">
      <w:pPr>
        <w:numPr>
          <w:ilvl w:val="0"/>
          <w:numId w:val="19"/>
        </w:numPr>
        <w:spacing w:after="160"/>
        <w:ind w:left="317"/>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lang w:eastAsia="en-US"/>
        </w:rPr>
        <w:t>komponent edukacyjny z funkcją demonstracyjną.</w:t>
      </w:r>
    </w:p>
    <w:p w14:paraId="1D8DD174" w14:textId="77777777" w:rsidR="000352C3" w:rsidRPr="000352C3" w:rsidRDefault="000352C3" w:rsidP="000352C3">
      <w:pPr>
        <w:spacing w:line="276" w:lineRule="auto"/>
        <w:jc w:val="both"/>
        <w:rPr>
          <w:rFonts w:asciiTheme="minorHAnsi" w:eastAsiaTheme="minorHAnsi" w:hAnsiTheme="minorHAnsi" w:cstheme="minorBidi"/>
          <w:sz w:val="22"/>
          <w:szCs w:val="22"/>
          <w:u w:val="single"/>
          <w:lang w:eastAsia="en-US"/>
        </w:rPr>
      </w:pPr>
    </w:p>
    <w:p w14:paraId="64A907AC" w14:textId="77777777" w:rsidR="000352C3" w:rsidRPr="000352C3" w:rsidRDefault="000352C3" w:rsidP="000352C3">
      <w:pPr>
        <w:spacing w:line="276" w:lineRule="auto"/>
        <w:ind w:left="-43"/>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u w:val="single"/>
          <w:lang w:eastAsia="en-US"/>
        </w:rPr>
        <w:t>Wszystkie powyższe warunki muszą być spełnione łącznie. Jeśli projekt obejmuje więcej niż 1 budynek, warunki muszą być spełnione w każdym z nich</w:t>
      </w:r>
      <w:r w:rsidRPr="000352C3">
        <w:rPr>
          <w:rFonts w:asciiTheme="minorHAnsi" w:eastAsiaTheme="minorHAnsi" w:hAnsiTheme="minorHAnsi" w:cstheme="minorBidi"/>
          <w:sz w:val="22"/>
          <w:szCs w:val="22"/>
          <w:lang w:eastAsia="en-US"/>
        </w:rPr>
        <w:t>.</w:t>
      </w:r>
    </w:p>
    <w:p w14:paraId="43984057" w14:textId="77777777" w:rsidR="000352C3" w:rsidRPr="000352C3" w:rsidRDefault="000352C3"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42E92C83" w14:textId="77777777" w:rsidR="000352C3" w:rsidRPr="000352C3" w:rsidRDefault="000352C3" w:rsidP="000352C3">
      <w:pPr>
        <w:spacing w:line="276" w:lineRule="auto"/>
        <w:jc w:val="both"/>
        <w:rPr>
          <w:rFonts w:asciiTheme="minorHAnsi" w:eastAsiaTheme="minorHAnsi" w:hAnsiTheme="minorHAnsi" w:cs="Arial"/>
          <w:sz w:val="22"/>
          <w:szCs w:val="22"/>
          <w:lang w:eastAsia="en-US"/>
        </w:rPr>
      </w:pPr>
      <w:r w:rsidRPr="000352C3">
        <w:rPr>
          <w:rFonts w:asciiTheme="minorHAnsi" w:eastAsiaTheme="minorHAnsi" w:hAnsiTheme="minorHAnsi" w:cs="Arial"/>
          <w:sz w:val="22"/>
          <w:szCs w:val="22"/>
          <w:lang w:eastAsia="en-US"/>
        </w:rPr>
        <w:t xml:space="preserve">W przypadku inwestycji dotyczących źródeł ciepła, </w:t>
      </w:r>
      <w:r w:rsidRPr="000352C3">
        <w:rPr>
          <w:rFonts w:asciiTheme="minorHAnsi" w:eastAsiaTheme="minorHAnsi" w:hAnsiTheme="minorHAnsi" w:cs="Arial"/>
          <w:b/>
          <w:sz w:val="22"/>
          <w:szCs w:val="22"/>
          <w:lang w:eastAsia="en-US"/>
        </w:rPr>
        <w:t>wsparte projekty muszą skutkować redukcją CO</w:t>
      </w:r>
      <w:r w:rsidRPr="000352C3">
        <w:rPr>
          <w:rFonts w:asciiTheme="minorHAnsi" w:eastAsiaTheme="minorHAnsi" w:hAnsiTheme="minorHAnsi" w:cs="Arial"/>
          <w:b/>
          <w:sz w:val="22"/>
          <w:szCs w:val="22"/>
          <w:vertAlign w:val="subscript"/>
          <w:lang w:eastAsia="en-US"/>
        </w:rPr>
        <w:t>2</w:t>
      </w:r>
      <w:r w:rsidRPr="000352C3">
        <w:rPr>
          <w:rFonts w:asciiTheme="minorHAnsi" w:eastAsiaTheme="minorHAnsi" w:hAnsiTheme="minorHAnsi" w:cs="Arial"/>
          <w:sz w:val="22"/>
          <w:szCs w:val="22"/>
          <w:lang w:eastAsia="en-US"/>
        </w:rPr>
        <w:t xml:space="preserve"> w odniesieniu do istniejących instalacji (</w:t>
      </w:r>
      <w:r w:rsidRPr="000352C3">
        <w:rPr>
          <w:rFonts w:asciiTheme="minorHAnsi" w:eastAsiaTheme="minorHAnsi" w:hAnsiTheme="minorHAnsi" w:cs="Arial"/>
          <w:b/>
          <w:sz w:val="22"/>
          <w:szCs w:val="22"/>
          <w:lang w:eastAsia="en-US"/>
        </w:rPr>
        <w:t>o co najmniej 30% w przypadku zamiany spalanego paliwa</w:t>
      </w:r>
      <w:r w:rsidRPr="000352C3">
        <w:rPr>
          <w:rFonts w:asciiTheme="minorHAnsi" w:eastAsiaTheme="minorHAnsi" w:hAnsiTheme="minorHAnsi" w:cs="Arial"/>
          <w:sz w:val="22"/>
          <w:szCs w:val="22"/>
          <w:lang w:eastAsia="en-US"/>
        </w:rPr>
        <w:t xml:space="preserve">) </w:t>
      </w:r>
      <w:r w:rsidRPr="000352C3">
        <w:rPr>
          <w:rFonts w:asciiTheme="minorHAnsi" w:eastAsiaTheme="minorHAnsi" w:hAnsiTheme="minorHAnsi" w:cs="Arial"/>
          <w:sz w:val="22"/>
          <w:szCs w:val="22"/>
          <w:lang w:eastAsia="en-US"/>
        </w:rPr>
        <w:br/>
        <w:t xml:space="preserve">i innych zanieczyszczeń powietrza takich jak pyły zawieszone PM 10 i PM 2,5, co powinno wynikać </w:t>
      </w:r>
      <w:r w:rsidRPr="000352C3">
        <w:rPr>
          <w:rFonts w:asciiTheme="minorHAnsi" w:eastAsiaTheme="minorHAnsi" w:hAnsiTheme="minorHAnsi" w:cs="Arial"/>
          <w:sz w:val="22"/>
          <w:szCs w:val="22"/>
          <w:lang w:eastAsia="en-US"/>
        </w:rPr>
        <w:br/>
        <w:t xml:space="preserve">z dokumentacji projektu. Projekty powinny być uzasadnione ekonomicznie i społecznie oraz </w:t>
      </w:r>
      <w:r w:rsidRPr="000352C3">
        <w:rPr>
          <w:rFonts w:asciiTheme="minorHAnsi" w:eastAsiaTheme="minorHAnsi" w:hAnsiTheme="minorHAnsi" w:cs="Arial"/>
          <w:sz w:val="22"/>
          <w:szCs w:val="22"/>
          <w:lang w:eastAsia="en-US"/>
        </w:rPr>
        <w:br/>
        <w:t xml:space="preserve">w stosownych przypadkach, </w:t>
      </w:r>
      <w:r w:rsidRPr="000352C3">
        <w:rPr>
          <w:rFonts w:asciiTheme="minorHAnsi" w:eastAsiaTheme="minorHAnsi" w:hAnsiTheme="minorHAnsi" w:cs="Arial"/>
          <w:b/>
          <w:sz w:val="22"/>
          <w:szCs w:val="22"/>
          <w:lang w:eastAsia="en-US"/>
        </w:rPr>
        <w:t>przeciwdziałać ubóstwu energetycznemu</w:t>
      </w:r>
      <w:r w:rsidRPr="000352C3">
        <w:rPr>
          <w:rFonts w:asciiTheme="minorHAnsi" w:eastAsiaTheme="minorHAnsi" w:hAnsiTheme="minorHAnsi" w:cs="Arial"/>
          <w:sz w:val="22"/>
          <w:szCs w:val="22"/>
          <w:lang w:eastAsia="en-US"/>
        </w:rPr>
        <w:t xml:space="preserve"> (inwestycje powinny uwzględniać także koszty eksploatacji i możliwość ich ponoszenia przez ostatecznych odbiorców pomocy). </w:t>
      </w:r>
    </w:p>
    <w:p w14:paraId="065D6E71" w14:textId="77777777" w:rsidR="000352C3" w:rsidRPr="000352C3" w:rsidRDefault="000352C3" w:rsidP="000352C3">
      <w:pPr>
        <w:spacing w:line="276" w:lineRule="auto"/>
        <w:jc w:val="both"/>
        <w:rPr>
          <w:rFonts w:asciiTheme="minorHAnsi" w:eastAsiaTheme="minorHAnsi" w:hAnsiTheme="minorHAnsi" w:cs="Arial"/>
          <w:sz w:val="22"/>
          <w:szCs w:val="22"/>
          <w:lang w:eastAsia="en-US"/>
        </w:rPr>
      </w:pPr>
    </w:p>
    <w:p w14:paraId="49629827" w14:textId="77777777" w:rsidR="000352C3" w:rsidRPr="000352C3" w:rsidRDefault="000352C3" w:rsidP="000352C3">
      <w:pPr>
        <w:spacing w:line="276" w:lineRule="auto"/>
        <w:jc w:val="both"/>
        <w:rPr>
          <w:rFonts w:asciiTheme="minorHAnsi" w:eastAsiaTheme="minorHAnsi" w:hAnsiTheme="minorHAnsi" w:cs="Arial"/>
          <w:sz w:val="22"/>
          <w:szCs w:val="22"/>
          <w:lang w:eastAsia="en-US"/>
        </w:rPr>
      </w:pPr>
      <w:r w:rsidRPr="000352C3">
        <w:rPr>
          <w:rFonts w:asciiTheme="minorHAnsi" w:eastAsiaTheme="minorHAnsi" w:hAnsiTheme="minorHAnsi" w:cs="Arial"/>
          <w:sz w:val="22"/>
          <w:szCs w:val="22"/>
          <w:lang w:eastAsia="en-US"/>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t>
      </w:r>
      <w:r w:rsidRPr="000352C3">
        <w:rPr>
          <w:rFonts w:asciiTheme="minorHAnsi" w:eastAsiaTheme="minorHAnsi" w:hAnsiTheme="minorHAnsi" w:cs="Arial"/>
          <w:sz w:val="22"/>
          <w:szCs w:val="22"/>
          <w:lang w:eastAsia="en-US"/>
        </w:rPr>
        <w:br/>
        <w:t xml:space="preserve">w środkach wykonawczych do dyrektywy 2009/125/WE z dnia 21 października 2009 r. ustanawiającej ogólne zasady ustalania wymogów dotyczących </w:t>
      </w:r>
      <w:proofErr w:type="spellStart"/>
      <w:r w:rsidRPr="000352C3">
        <w:rPr>
          <w:rFonts w:asciiTheme="minorHAnsi" w:eastAsiaTheme="minorHAnsi" w:hAnsiTheme="minorHAnsi" w:cs="Arial"/>
          <w:sz w:val="22"/>
          <w:szCs w:val="22"/>
          <w:lang w:eastAsia="en-US"/>
        </w:rPr>
        <w:t>ekoprojektu</w:t>
      </w:r>
      <w:proofErr w:type="spellEnd"/>
      <w:r w:rsidRPr="000352C3">
        <w:rPr>
          <w:rFonts w:asciiTheme="minorHAnsi" w:eastAsiaTheme="minorHAnsi" w:hAnsiTheme="minorHAnsi" w:cs="Arial"/>
          <w:sz w:val="22"/>
          <w:szCs w:val="22"/>
          <w:lang w:eastAsia="en-US"/>
        </w:rPr>
        <w:t xml:space="preserve"> dla produktów związanych z energią. Wszelkie inwestycje powinny być zgodne z unijnymi standardami i przepisami w zakresie ochrony środowiska.</w:t>
      </w:r>
    </w:p>
    <w:p w14:paraId="6673E55C" w14:textId="77777777" w:rsidR="000352C3" w:rsidRPr="000352C3" w:rsidRDefault="000352C3" w:rsidP="000352C3">
      <w:pPr>
        <w:autoSpaceDE w:val="0"/>
        <w:autoSpaceDN w:val="0"/>
        <w:adjustRightInd w:val="0"/>
        <w:spacing w:line="276" w:lineRule="auto"/>
        <w:jc w:val="both"/>
        <w:rPr>
          <w:rFonts w:asciiTheme="minorHAnsi" w:hAnsiTheme="minorHAnsi" w:cs="Arial"/>
          <w:sz w:val="22"/>
          <w:szCs w:val="22"/>
        </w:rPr>
      </w:pPr>
    </w:p>
    <w:p w14:paraId="2BDD1C57" w14:textId="593A322D" w:rsidR="000352C3" w:rsidRPr="000352C3" w:rsidRDefault="000352C3" w:rsidP="000352C3">
      <w:pPr>
        <w:spacing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Dodatkowym elementem demonstracyjnym projektu może być:</w:t>
      </w:r>
    </w:p>
    <w:p w14:paraId="5C94F837" w14:textId="77777777" w:rsidR="000352C3" w:rsidRPr="000352C3" w:rsidRDefault="000352C3" w:rsidP="000352C3">
      <w:pPr>
        <w:numPr>
          <w:ilvl w:val="0"/>
          <w:numId w:val="22"/>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zielony dach,</w:t>
      </w:r>
    </w:p>
    <w:p w14:paraId="5A03422D" w14:textId="77777777" w:rsidR="000352C3" w:rsidRPr="000352C3" w:rsidRDefault="000352C3" w:rsidP="000352C3">
      <w:pPr>
        <w:numPr>
          <w:ilvl w:val="0"/>
          <w:numId w:val="22"/>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zielone ściany,</w:t>
      </w:r>
    </w:p>
    <w:p w14:paraId="4A0E9D47" w14:textId="77777777" w:rsidR="000352C3" w:rsidRPr="000352C3" w:rsidRDefault="000352C3" w:rsidP="000352C3">
      <w:pPr>
        <w:numPr>
          <w:ilvl w:val="0"/>
          <w:numId w:val="22"/>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system pozyskiwania wody deszczowej lub odzyskiwania wody szarej lub podobny,</w:t>
      </w:r>
    </w:p>
    <w:p w14:paraId="2DB479F8" w14:textId="77777777" w:rsidR="000352C3" w:rsidRPr="000352C3" w:rsidRDefault="000352C3" w:rsidP="000352C3">
      <w:pPr>
        <w:numPr>
          <w:ilvl w:val="0"/>
          <w:numId w:val="22"/>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zastosowanie oprzyrządowania do stałego monitoringu budynku w zakresie zużycia energii na cele ogrzewania, chłodzenia, przygotowania CWU i wentylacji budynku oraz za zawarcie umowy / podpisanie listu intencyjnego z uczelnią wyższą lub jednostką naukowo – badawczą w celu naukowego wykorzystania pomiarów</w:t>
      </w:r>
    </w:p>
    <w:p w14:paraId="7FB7FC60" w14:textId="77777777" w:rsidR="000352C3" w:rsidRPr="000352C3" w:rsidRDefault="000352C3" w:rsidP="000352C3">
      <w:pPr>
        <w:numPr>
          <w:ilvl w:val="0"/>
          <w:numId w:val="22"/>
        </w:numPr>
        <w:spacing w:after="160" w:line="276" w:lineRule="auto"/>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lang w:eastAsia="en-US"/>
        </w:rPr>
        <w:t>udostępnianie szczegółowej dokumentacji budowlanej i technicznej budynku w celach naukowo – badawczych.</w:t>
      </w:r>
    </w:p>
    <w:p w14:paraId="5059F48C" w14:textId="77777777" w:rsidR="000352C3" w:rsidRPr="000352C3" w:rsidRDefault="000352C3" w:rsidP="000352C3">
      <w:pPr>
        <w:spacing w:after="160" w:line="276" w:lineRule="auto"/>
        <w:ind w:left="32"/>
        <w:jc w:val="both"/>
        <w:rPr>
          <w:rFonts w:asciiTheme="minorHAnsi" w:eastAsiaTheme="minorHAnsi" w:hAnsiTheme="minorHAnsi" w:cstheme="minorBidi"/>
          <w:sz w:val="22"/>
          <w:szCs w:val="22"/>
          <w:u w:val="single"/>
          <w:lang w:eastAsia="en-US"/>
        </w:rPr>
      </w:pPr>
    </w:p>
    <w:p w14:paraId="26077A80" w14:textId="77777777" w:rsidR="000352C3" w:rsidRPr="000352C3" w:rsidRDefault="000352C3" w:rsidP="000352C3">
      <w:pPr>
        <w:spacing w:after="160" w:line="276" w:lineRule="auto"/>
        <w:ind w:left="32"/>
        <w:jc w:val="both"/>
        <w:rPr>
          <w:rFonts w:asciiTheme="minorHAnsi" w:eastAsiaTheme="minorHAnsi" w:hAnsiTheme="minorHAnsi" w:cs="Arial"/>
          <w:sz w:val="22"/>
          <w:szCs w:val="22"/>
          <w:lang w:eastAsia="en-US"/>
        </w:rPr>
      </w:pPr>
      <w:r w:rsidRPr="000352C3">
        <w:rPr>
          <w:rFonts w:asciiTheme="minorHAnsi" w:eastAsiaTheme="minorHAnsi" w:hAnsiTheme="minorHAnsi" w:cstheme="minorBidi"/>
          <w:sz w:val="22"/>
          <w:szCs w:val="22"/>
          <w:u w:val="single"/>
          <w:lang w:eastAsia="en-US"/>
        </w:rPr>
        <w:t xml:space="preserve">W przypadku termomodernizacji 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wydatków kwalifikowalnych w projekcie. </w:t>
      </w:r>
      <w:r w:rsidRPr="000352C3">
        <w:rPr>
          <w:rFonts w:asciiTheme="minorHAnsi" w:eastAsiaTheme="minorHAnsi" w:hAnsiTheme="minorHAnsi" w:cs="Arial"/>
          <w:sz w:val="22"/>
          <w:szCs w:val="22"/>
          <w:u w:val="single"/>
          <w:lang w:eastAsia="en-US"/>
        </w:rPr>
        <w:t xml:space="preserve">Wyjątek stanowią wydatki na prace niezbędne do poprawy efektywności ale bezpośrednio z nią nie związane, bez których nie da się skutecznie zrealizować prac bezpośrednio związanych z poprawą efektywności, np. osuszenie ścian, naprawa </w:t>
      </w:r>
      <w:r w:rsidRPr="000352C3">
        <w:rPr>
          <w:rFonts w:asciiTheme="minorHAnsi" w:eastAsiaTheme="minorHAnsi" w:hAnsiTheme="minorHAnsi" w:cs="Arial"/>
          <w:sz w:val="22"/>
          <w:szCs w:val="22"/>
          <w:u w:val="single"/>
          <w:lang w:eastAsia="en-US"/>
        </w:rPr>
        <w:br/>
        <w:t xml:space="preserve">i uzupełnienie ubytków przegrody przed zamocowaniem izolacji itp. Zasada ta nie dotyczy również usprawnień na rzecz osób z niepełnosprawnościami, związanych z realizacją koncepcji uniwersalnego projektowania, o której mowa w </w:t>
      </w:r>
      <w:r w:rsidRPr="000352C3">
        <w:rPr>
          <w:rFonts w:asciiTheme="minorHAnsi" w:eastAsiaTheme="minorHAnsi" w:hAnsiTheme="minorHAnsi" w:cs="Arial"/>
          <w:i/>
          <w:sz w:val="22"/>
          <w:szCs w:val="22"/>
          <w:u w:val="single"/>
          <w:lang w:eastAsia="en-US"/>
        </w:rPr>
        <w:t xml:space="preserve">Wytycznych w zakresie realizacji zasady równości szans </w:t>
      </w:r>
      <w:r w:rsidRPr="000352C3">
        <w:rPr>
          <w:rFonts w:asciiTheme="minorHAnsi" w:eastAsiaTheme="minorHAnsi" w:hAnsiTheme="minorHAnsi" w:cs="Arial"/>
          <w:i/>
          <w:sz w:val="22"/>
          <w:szCs w:val="22"/>
          <w:u w:val="single"/>
          <w:lang w:eastAsia="en-US"/>
        </w:rPr>
        <w:br/>
        <w:t>i niedyskryminacji, w tym dostępności dla osób z niepełnosprawnościami oraz zasady równości szans kobiet i mężczyzn w ramach funduszy unijnych na lata 2014-2020</w:t>
      </w:r>
      <w:r w:rsidRPr="000352C3">
        <w:rPr>
          <w:rFonts w:asciiTheme="minorHAnsi" w:eastAsiaTheme="minorHAnsi" w:hAnsiTheme="minorHAnsi" w:cs="Arial"/>
          <w:sz w:val="22"/>
          <w:szCs w:val="22"/>
          <w:u w:val="single"/>
          <w:lang w:eastAsia="en-US"/>
        </w:rPr>
        <w:t>.</w:t>
      </w:r>
    </w:p>
    <w:p w14:paraId="07F33999" w14:textId="77777777" w:rsidR="000352C3" w:rsidRPr="000352C3" w:rsidRDefault="000352C3" w:rsidP="000352C3">
      <w:pPr>
        <w:spacing w:line="276" w:lineRule="auto"/>
        <w:jc w:val="both"/>
        <w:rPr>
          <w:rFonts w:asciiTheme="minorHAnsi" w:eastAsiaTheme="minorHAnsi" w:hAnsiTheme="minorHAnsi" w:cstheme="minorBidi"/>
          <w:sz w:val="22"/>
          <w:szCs w:val="22"/>
          <w:u w:val="single"/>
          <w:lang w:eastAsia="en-US"/>
        </w:rPr>
      </w:pPr>
    </w:p>
    <w:p w14:paraId="18F565CC" w14:textId="5C3968DE" w:rsidR="000352C3" w:rsidRPr="000352C3" w:rsidRDefault="000352C3" w:rsidP="000352C3">
      <w:pPr>
        <w:spacing w:line="276" w:lineRule="auto"/>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u w:val="single"/>
          <w:lang w:eastAsia="en-US"/>
        </w:rPr>
        <w:t xml:space="preserve">Nie jest możliwa termomodernizacja budynków zdewastowanych i/lub znajdujących się w stanie technicznym, który uniemożliwia </w:t>
      </w:r>
      <w:r w:rsidRPr="008A4588">
        <w:rPr>
          <w:rFonts w:asciiTheme="minorHAnsi" w:eastAsiaTheme="minorHAnsi" w:hAnsiTheme="minorHAnsi" w:cstheme="minorBidi"/>
          <w:sz w:val="22"/>
          <w:szCs w:val="22"/>
          <w:u w:val="single"/>
          <w:lang w:eastAsia="en-US"/>
        </w:rPr>
        <w:t>sporządzenie audytu energetycznego/świadectwa charakterystyki energetycznej zgodnie z metodologią.  Ponadto w wyniku termomodernizacji nie jest możliwe zwiększenie powierzchni</w:t>
      </w:r>
      <w:r w:rsidR="009D6C6D" w:rsidRPr="008A4588">
        <w:rPr>
          <w:rFonts w:asciiTheme="minorHAnsi" w:eastAsiaTheme="minorHAnsi" w:hAnsiTheme="minorHAnsi" w:cstheme="minorBidi"/>
          <w:sz w:val="22"/>
          <w:szCs w:val="22"/>
          <w:u w:val="single"/>
          <w:lang w:eastAsia="en-US"/>
        </w:rPr>
        <w:t xml:space="preserve"> użytkowej</w:t>
      </w:r>
      <w:r w:rsidRPr="008A4588">
        <w:rPr>
          <w:rFonts w:asciiTheme="minorHAnsi" w:eastAsiaTheme="minorHAnsi" w:hAnsiTheme="minorHAnsi" w:cstheme="minorBidi"/>
          <w:sz w:val="22"/>
          <w:szCs w:val="22"/>
          <w:u w:val="single"/>
          <w:lang w:eastAsia="en-US"/>
        </w:rPr>
        <w:t xml:space="preserve"> i zmiana sposobu użytkowania budynku.</w:t>
      </w:r>
      <w:r w:rsidRPr="000352C3">
        <w:rPr>
          <w:rFonts w:asciiTheme="minorHAnsi" w:eastAsiaTheme="minorHAnsi" w:hAnsiTheme="minorHAnsi" w:cstheme="minorBidi"/>
          <w:sz w:val="22"/>
          <w:szCs w:val="22"/>
          <w:u w:val="single"/>
          <w:lang w:eastAsia="en-US"/>
        </w:rPr>
        <w:t xml:space="preserve"> </w:t>
      </w:r>
    </w:p>
    <w:p w14:paraId="194EF3F7" w14:textId="77777777" w:rsidR="000352C3" w:rsidRPr="000352C3" w:rsidRDefault="000352C3"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04F20EB2" w14:textId="77777777" w:rsidR="000352C3" w:rsidRPr="000352C3" w:rsidRDefault="000352C3" w:rsidP="000352C3">
      <w:pPr>
        <w:spacing w:line="276" w:lineRule="auto"/>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u w:val="single"/>
          <w:lang w:eastAsia="en-US"/>
        </w:rPr>
        <w:t>W obszarze ochrony zdrowia projekty mogą dotyczyć tylko obiektów, których funkcjonowanie będzie uzasadnione w kontekście map potrzeb zdrowotnych opracowanych przez Ministerstwo Zdrowia.</w:t>
      </w:r>
    </w:p>
    <w:p w14:paraId="552A6C79" w14:textId="77777777" w:rsidR="000352C3" w:rsidRPr="000352C3" w:rsidRDefault="000352C3" w:rsidP="000352C3">
      <w:pPr>
        <w:spacing w:line="276" w:lineRule="auto"/>
        <w:jc w:val="both"/>
        <w:rPr>
          <w:rFonts w:asciiTheme="minorHAnsi" w:eastAsiaTheme="minorHAnsi" w:hAnsiTheme="minorHAnsi" w:cstheme="minorBidi"/>
          <w:sz w:val="22"/>
          <w:szCs w:val="22"/>
          <w:u w:val="single"/>
          <w:lang w:eastAsia="en-US"/>
        </w:rPr>
      </w:pPr>
    </w:p>
    <w:p w14:paraId="3B6DD038" w14:textId="768B165D" w:rsidR="000352C3" w:rsidRPr="000352C3" w:rsidRDefault="000352C3" w:rsidP="0099049C">
      <w:pPr>
        <w:spacing w:before="40" w:after="40" w:line="276" w:lineRule="auto"/>
        <w:jc w:val="both"/>
        <w:rPr>
          <w:rFonts w:asciiTheme="minorHAnsi" w:eastAsiaTheme="minorHAnsi" w:hAnsiTheme="minorHAnsi" w:cs="Arial"/>
          <w:sz w:val="22"/>
          <w:szCs w:val="22"/>
          <w:u w:val="single"/>
          <w:lang w:eastAsia="en-US"/>
        </w:rPr>
      </w:pPr>
      <w:r w:rsidRPr="000352C3">
        <w:rPr>
          <w:rFonts w:asciiTheme="minorHAnsi" w:eastAsiaTheme="minorHAnsi" w:hAnsiTheme="minorHAnsi" w:cs="Arial"/>
          <w:sz w:val="22"/>
          <w:szCs w:val="22"/>
          <w:u w:val="single"/>
          <w:lang w:eastAsia="en-US"/>
        </w:rPr>
        <w:t xml:space="preserve">Wykluczone jest wsparcie inwestycji w infrastrukturę instytucji opiekuńczo-pobytowych (rozumianych zgodnie z Wytycznymi w zakresie realizacji przedsięwzięć w obszarze włączenia społecznego </w:t>
      </w:r>
      <w:r w:rsidRPr="000352C3">
        <w:rPr>
          <w:rFonts w:asciiTheme="minorHAnsi" w:eastAsiaTheme="minorHAnsi" w:hAnsiTheme="minorHAnsi" w:cs="Arial"/>
          <w:sz w:val="22"/>
          <w:szCs w:val="22"/>
          <w:u w:val="single"/>
          <w:lang w:eastAsia="en-US"/>
        </w:rPr>
        <w:br/>
        <w:t>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7ED9BEAB" w14:textId="77777777" w:rsidR="000352C3" w:rsidRPr="000352C3" w:rsidRDefault="000352C3"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28A3DC6A" w14:textId="77777777" w:rsidR="008A4588" w:rsidRDefault="008A4588"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314B8FD9" w14:textId="77777777" w:rsidR="008A4588" w:rsidRDefault="008A4588"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3ADA3A4B" w14:textId="77777777" w:rsidR="008A4588" w:rsidRDefault="008A4588"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60FB2D81" w14:textId="77777777" w:rsidR="008A4588" w:rsidRDefault="008A4588" w:rsidP="000352C3">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0274AD85" w14:textId="67E104EB" w:rsidR="000352C3" w:rsidRPr="000352C3" w:rsidRDefault="000352C3" w:rsidP="000352C3">
      <w:pPr>
        <w:tabs>
          <w:tab w:val="center" w:pos="4536"/>
          <w:tab w:val="right" w:pos="9072"/>
        </w:tabs>
        <w:spacing w:line="276" w:lineRule="auto"/>
        <w:jc w:val="both"/>
        <w:rPr>
          <w:rFonts w:asciiTheme="minorHAnsi" w:eastAsiaTheme="minorHAnsi" w:hAnsiTheme="minorHAnsi" w:cs="Arial"/>
          <w:b/>
          <w:szCs w:val="22"/>
          <w:u w:val="single"/>
          <w:lang w:eastAsia="en-US"/>
        </w:rPr>
      </w:pPr>
      <w:r w:rsidRPr="000352C3">
        <w:rPr>
          <w:rFonts w:asciiTheme="minorHAnsi" w:eastAsiaTheme="minorHAnsi" w:hAnsiTheme="minorHAnsi" w:cs="Calibri"/>
          <w:b/>
          <w:szCs w:val="22"/>
          <w:u w:val="single"/>
          <w:lang w:eastAsia="en-US"/>
        </w:rPr>
        <w:t>Konkurs jest ukierunkowany na następujące Obszary Stra</w:t>
      </w:r>
      <w:r w:rsidR="00334F91">
        <w:rPr>
          <w:rFonts w:asciiTheme="minorHAnsi" w:eastAsiaTheme="minorHAnsi" w:hAnsiTheme="minorHAnsi" w:cs="Calibri"/>
          <w:b/>
          <w:szCs w:val="22"/>
          <w:u w:val="single"/>
          <w:lang w:eastAsia="en-US"/>
        </w:rPr>
        <w:t>tegicznej Interwencji (OSI)</w:t>
      </w:r>
      <w:r w:rsidRPr="000352C3">
        <w:rPr>
          <w:rFonts w:asciiTheme="minorHAnsi" w:eastAsiaTheme="minorHAnsi" w:hAnsiTheme="minorHAnsi" w:cs="Calibri"/>
          <w:b/>
          <w:szCs w:val="22"/>
          <w:u w:val="single"/>
          <w:lang w:eastAsia="en-US"/>
        </w:rPr>
        <w:t>:</w:t>
      </w:r>
    </w:p>
    <w:p w14:paraId="5131837C" w14:textId="77777777" w:rsidR="000352C3" w:rsidRPr="000352C3" w:rsidRDefault="000352C3" w:rsidP="000352C3">
      <w:pPr>
        <w:numPr>
          <w:ilvl w:val="0"/>
          <w:numId w:val="16"/>
        </w:numPr>
        <w:tabs>
          <w:tab w:val="center" w:pos="4536"/>
          <w:tab w:val="right" w:pos="9072"/>
        </w:tabs>
        <w:spacing w:after="160" w:line="276" w:lineRule="auto"/>
        <w:ind w:left="1077" w:hanging="357"/>
        <w:contextualSpacing/>
        <w:jc w:val="both"/>
        <w:rPr>
          <w:rFonts w:asciiTheme="minorHAnsi" w:eastAsiaTheme="minorHAnsi" w:hAnsiTheme="minorHAnsi" w:cs="Arial"/>
          <w:lang w:eastAsia="en-US"/>
        </w:rPr>
      </w:pPr>
      <w:r w:rsidRPr="000352C3">
        <w:rPr>
          <w:rFonts w:asciiTheme="minorHAnsi" w:eastAsiaTheme="minorHAnsi" w:hAnsiTheme="minorHAnsi" w:cstheme="minorBidi"/>
          <w:sz w:val="22"/>
          <w:szCs w:val="22"/>
          <w:lang w:eastAsia="en-US"/>
        </w:rPr>
        <w:t>Obszar Interwencji Doliny Baryczy</w:t>
      </w:r>
      <w:r w:rsidRPr="000352C3">
        <w:rPr>
          <w:rFonts w:asciiTheme="minorHAnsi" w:eastAsiaTheme="minorHAnsi" w:hAnsiTheme="minorHAnsi" w:cstheme="minorBidi"/>
          <w:sz w:val="22"/>
          <w:szCs w:val="22"/>
          <w:vertAlign w:val="superscript"/>
          <w:lang w:eastAsia="en-US"/>
        </w:rPr>
        <w:footnoteReference w:id="3"/>
      </w:r>
      <w:r w:rsidRPr="000352C3">
        <w:rPr>
          <w:rFonts w:asciiTheme="minorHAnsi" w:eastAsiaTheme="minorHAnsi" w:hAnsiTheme="minorHAnsi" w:cstheme="minorBidi"/>
          <w:sz w:val="22"/>
          <w:szCs w:val="22"/>
          <w:lang w:eastAsia="en-US"/>
        </w:rPr>
        <w:t xml:space="preserve"> (</w:t>
      </w:r>
      <w:r w:rsidRPr="000352C3">
        <w:rPr>
          <w:rFonts w:asciiTheme="minorHAnsi" w:eastAsiaTheme="minorHAnsi" w:hAnsiTheme="minorHAnsi" w:cs="Calibri"/>
          <w:sz w:val="22"/>
          <w:szCs w:val="22"/>
          <w:lang w:eastAsia="en-US"/>
        </w:rPr>
        <w:t>OIDB);</w:t>
      </w:r>
    </w:p>
    <w:p w14:paraId="738E006A" w14:textId="77777777" w:rsidR="000352C3" w:rsidRPr="000352C3" w:rsidRDefault="000352C3" w:rsidP="000352C3">
      <w:pPr>
        <w:numPr>
          <w:ilvl w:val="0"/>
          <w:numId w:val="16"/>
        </w:numPr>
        <w:tabs>
          <w:tab w:val="center" w:pos="4536"/>
          <w:tab w:val="right" w:pos="9072"/>
        </w:tabs>
        <w:spacing w:after="160" w:line="276" w:lineRule="auto"/>
        <w:ind w:left="1077" w:hanging="357"/>
        <w:contextualSpacing/>
        <w:jc w:val="both"/>
        <w:rPr>
          <w:rFonts w:asciiTheme="minorHAnsi" w:eastAsiaTheme="minorHAnsi" w:hAnsiTheme="minorHAnsi" w:cs="Arial"/>
          <w:lang w:eastAsia="en-US"/>
        </w:rPr>
      </w:pPr>
      <w:r w:rsidRPr="000352C3">
        <w:rPr>
          <w:rFonts w:asciiTheme="minorHAnsi" w:eastAsiaTheme="minorHAnsi" w:hAnsiTheme="minorHAnsi" w:cstheme="minorBidi"/>
          <w:sz w:val="22"/>
          <w:szCs w:val="22"/>
          <w:lang w:eastAsia="en-US"/>
        </w:rPr>
        <w:t>Obszar Interwencji Równiny Wrocławskiej</w:t>
      </w:r>
      <w:r w:rsidRPr="000352C3">
        <w:rPr>
          <w:rFonts w:asciiTheme="minorHAnsi" w:eastAsiaTheme="minorHAnsi" w:hAnsiTheme="minorHAnsi" w:cstheme="minorBidi"/>
          <w:sz w:val="22"/>
          <w:szCs w:val="22"/>
          <w:vertAlign w:val="superscript"/>
          <w:lang w:eastAsia="en-US"/>
        </w:rPr>
        <w:footnoteReference w:id="4"/>
      </w:r>
      <w:r w:rsidRPr="000352C3">
        <w:rPr>
          <w:rFonts w:asciiTheme="minorHAnsi" w:eastAsiaTheme="minorHAnsi" w:hAnsiTheme="minorHAnsi" w:cstheme="minorBidi"/>
          <w:sz w:val="22"/>
          <w:szCs w:val="22"/>
          <w:lang w:eastAsia="en-US"/>
        </w:rPr>
        <w:t xml:space="preserve"> (</w:t>
      </w:r>
      <w:r w:rsidRPr="000352C3">
        <w:rPr>
          <w:rFonts w:asciiTheme="minorHAnsi" w:eastAsiaTheme="minorHAnsi" w:hAnsiTheme="minorHAnsi" w:cs="Calibri"/>
          <w:sz w:val="22"/>
          <w:szCs w:val="22"/>
          <w:lang w:eastAsia="en-US"/>
        </w:rPr>
        <w:t>OIRW);</w:t>
      </w:r>
    </w:p>
    <w:p w14:paraId="4F6B0962" w14:textId="77777777" w:rsidR="000352C3" w:rsidRPr="000352C3" w:rsidRDefault="000352C3" w:rsidP="000352C3">
      <w:pPr>
        <w:spacing w:line="276" w:lineRule="auto"/>
        <w:contextualSpacing/>
        <w:jc w:val="both"/>
        <w:rPr>
          <w:rFonts w:asciiTheme="minorHAnsi" w:eastAsiaTheme="minorHAnsi" w:hAnsiTheme="minorHAnsi" w:cs="Arial"/>
          <w:b/>
          <w:i/>
          <w:lang w:eastAsia="en-US"/>
        </w:rPr>
      </w:pPr>
    </w:p>
    <w:p w14:paraId="5853CEAA" w14:textId="77777777" w:rsidR="000352C3" w:rsidRPr="000352C3" w:rsidRDefault="000352C3" w:rsidP="000352C3">
      <w:pPr>
        <w:spacing w:line="276" w:lineRule="auto"/>
        <w:contextualSpacing/>
        <w:jc w:val="both"/>
        <w:rPr>
          <w:rFonts w:asciiTheme="minorHAnsi" w:eastAsiaTheme="minorHAnsi" w:hAnsiTheme="minorHAnsi" w:cs="Arial"/>
          <w:b/>
          <w:lang w:eastAsia="en-US"/>
        </w:rPr>
      </w:pPr>
      <w:r w:rsidRPr="000352C3">
        <w:rPr>
          <w:rFonts w:asciiTheme="minorHAnsi" w:eastAsiaTheme="minorHAnsi" w:hAnsiTheme="minorHAnsi" w:cs="Arial"/>
          <w:b/>
          <w:lang w:eastAsia="en-US"/>
        </w:rPr>
        <w:t>UWAGA</w:t>
      </w:r>
    </w:p>
    <w:p w14:paraId="28340272" w14:textId="77777777" w:rsidR="000352C3" w:rsidRPr="000352C3" w:rsidRDefault="000352C3" w:rsidP="000352C3">
      <w:pPr>
        <w:spacing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Na każdy z ww. obszarów OSI przeznaczona jest odrębna alokacja i dla każdego OSI tworzone będą odrębne listy rankingowe projektów.</w:t>
      </w:r>
    </w:p>
    <w:p w14:paraId="6E4EA2E2" w14:textId="77777777" w:rsidR="000352C3" w:rsidRPr="000352C3" w:rsidRDefault="000352C3" w:rsidP="000352C3">
      <w:pPr>
        <w:spacing w:line="276" w:lineRule="auto"/>
        <w:contextualSpacing/>
        <w:jc w:val="both"/>
        <w:rPr>
          <w:rFonts w:ascii="Calibri" w:eastAsia="SimSun" w:hAnsi="Calibri" w:cs="Arial"/>
          <w:color w:val="000000" w:themeColor="text1"/>
          <w:sz w:val="22"/>
          <w:szCs w:val="22"/>
        </w:rPr>
      </w:pPr>
    </w:p>
    <w:p w14:paraId="59CB9F47" w14:textId="77777777" w:rsidR="000352C3" w:rsidRPr="000352C3" w:rsidRDefault="000352C3" w:rsidP="000352C3">
      <w:pPr>
        <w:spacing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W ramach konkursu aplikować mogą Wnioskodawcy, których projekty zlokalizowane są w całości na obszarze danego OSI.</w:t>
      </w:r>
    </w:p>
    <w:p w14:paraId="3021572E" w14:textId="77777777" w:rsidR="00146ED1" w:rsidRPr="000352C3" w:rsidRDefault="00146ED1" w:rsidP="000352C3">
      <w:pPr>
        <w:spacing w:line="276" w:lineRule="auto"/>
        <w:contextualSpacing/>
        <w:jc w:val="both"/>
        <w:rPr>
          <w:rFonts w:ascii="Calibri" w:eastAsia="SimSun" w:hAnsi="Calibri" w:cs="Arial"/>
          <w:color w:val="000000" w:themeColor="text1"/>
          <w:sz w:val="22"/>
          <w:szCs w:val="22"/>
        </w:rPr>
      </w:pPr>
    </w:p>
    <w:p w14:paraId="70248B4A" w14:textId="4BDFFFC8" w:rsidR="000352C3" w:rsidRPr="000352C3" w:rsidRDefault="000352C3" w:rsidP="000352C3">
      <w:pPr>
        <w:spacing w:line="276" w:lineRule="auto"/>
        <w:contextualSpacing/>
        <w:jc w:val="both"/>
        <w:rPr>
          <w:rFonts w:ascii="Calibri" w:eastAsia="SimSun" w:hAnsi="Calibri" w:cs="Arial"/>
          <w:color w:val="000000" w:themeColor="text1"/>
        </w:rPr>
      </w:pPr>
      <w:r w:rsidRPr="000352C3">
        <w:rPr>
          <w:rFonts w:ascii="Calibri" w:eastAsia="SimSun" w:hAnsi="Calibri" w:cs="Arial"/>
          <w:color w:val="000000" w:themeColor="text1"/>
          <w:sz w:val="22"/>
          <w:szCs w:val="22"/>
        </w:rPr>
        <w:t>Jeden Wnioskodawca może złożyć w tym naborze tylko jeden wniosek o dofinansowanie</w:t>
      </w:r>
      <w:bookmarkStart w:id="1" w:name="_Toc499633765"/>
      <w:bookmarkEnd w:id="1"/>
      <w:r w:rsidRPr="000352C3">
        <w:rPr>
          <w:rFonts w:ascii="Calibri" w:eastAsia="SimSun" w:hAnsi="Calibri" w:cs="Arial"/>
          <w:color w:val="000000" w:themeColor="text1"/>
          <w:sz w:val="22"/>
          <w:szCs w:val="22"/>
        </w:rPr>
        <w:t>. Zasada dotyczy również projektów partnerskich – Wnioskodawca nie może brać udziału w projekcie partnerskim jako partner, jeśli składa wniosek samodzielnie w tym samym konkursie. W przypadku konkursu dla OSI dopuszcza się, by jeden Wnioskodawca aplikował do więcej niż do jednego OSI, przy zachowaniu zasady, że w ramach jednego OSI składa tylko jeden wniosek.</w:t>
      </w:r>
    </w:p>
    <w:p w14:paraId="38469509" w14:textId="77777777" w:rsidR="0010181A" w:rsidRDefault="0010181A" w:rsidP="00B173B3">
      <w:pPr>
        <w:rPr>
          <w:rFonts w:asciiTheme="minorHAnsi" w:hAnsiTheme="minorHAnsi" w:cs="Calibri"/>
          <w:sz w:val="22"/>
          <w:szCs w:val="22"/>
        </w:rPr>
      </w:pPr>
    </w:p>
    <w:p w14:paraId="08907AE5" w14:textId="77777777" w:rsidR="00E52279" w:rsidRPr="00A003F1" w:rsidRDefault="00E52279" w:rsidP="00B173B3">
      <w:pPr>
        <w:rPr>
          <w:rFonts w:asciiTheme="minorHAnsi" w:hAnsiTheme="minorHAnsi"/>
          <w:sz w:val="22"/>
          <w:szCs w:val="22"/>
        </w:rPr>
      </w:pPr>
    </w:p>
    <w:p w14:paraId="06D04F51"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A003F1">
        <w:rPr>
          <w:rFonts w:asciiTheme="minorHAnsi" w:hAnsiTheme="minorHAnsi" w:cs="Calibri"/>
          <w:b/>
          <w:bCs/>
          <w:sz w:val="22"/>
          <w:szCs w:val="22"/>
        </w:rPr>
        <w:t>Rodzaj podmiotów, które mogą ubiegać się o dofinansowanie</w:t>
      </w:r>
    </w:p>
    <w:p w14:paraId="007F9020" w14:textId="77777777" w:rsidR="00FD204A" w:rsidRDefault="00FD204A" w:rsidP="00440B2D">
      <w:pPr>
        <w:pStyle w:val="Akapitzlist1"/>
        <w:autoSpaceDE w:val="0"/>
        <w:autoSpaceDN w:val="0"/>
        <w:adjustRightInd w:val="0"/>
        <w:spacing w:after="120"/>
        <w:ind w:left="0"/>
        <w:rPr>
          <w:rFonts w:asciiTheme="minorHAnsi" w:hAnsiTheme="minorHAnsi"/>
        </w:rPr>
      </w:pPr>
    </w:p>
    <w:p w14:paraId="061CE315" w14:textId="77777777" w:rsidR="000352C3" w:rsidRPr="000352C3" w:rsidRDefault="000352C3" w:rsidP="000352C3">
      <w:pPr>
        <w:pStyle w:val="Akapitzlist1"/>
        <w:autoSpaceDE w:val="0"/>
        <w:autoSpaceDN w:val="0"/>
        <w:adjustRightInd w:val="0"/>
        <w:spacing w:after="0"/>
        <w:ind w:left="0"/>
        <w:jc w:val="both"/>
        <w:rPr>
          <w:rFonts w:asciiTheme="minorHAnsi" w:hAnsiTheme="minorHAnsi"/>
        </w:rPr>
      </w:pPr>
      <w:r w:rsidRPr="000352C3">
        <w:rPr>
          <w:rFonts w:asciiTheme="minorHAnsi" w:hAnsiTheme="minorHAnsi"/>
        </w:rPr>
        <w:t>O dofinansowanie w ramach konkursu mogą ubiegać się następujące typy Wnioskodawców/Beneficjentów:</w:t>
      </w:r>
    </w:p>
    <w:p w14:paraId="1D405068" w14:textId="77777777" w:rsidR="000352C3" w:rsidRPr="000352C3" w:rsidRDefault="000352C3" w:rsidP="000352C3">
      <w:pPr>
        <w:pStyle w:val="Akapitzlist1"/>
        <w:tabs>
          <w:tab w:val="left" w:pos="1785"/>
        </w:tabs>
        <w:autoSpaceDE w:val="0"/>
        <w:autoSpaceDN w:val="0"/>
        <w:adjustRightInd w:val="0"/>
        <w:spacing w:after="0"/>
        <w:ind w:left="0"/>
        <w:jc w:val="both"/>
        <w:rPr>
          <w:rFonts w:asciiTheme="minorHAnsi" w:hAnsiTheme="minorHAnsi"/>
        </w:rPr>
      </w:pPr>
      <w:r w:rsidRPr="000352C3">
        <w:rPr>
          <w:rFonts w:asciiTheme="minorHAnsi" w:hAnsiTheme="minorHAnsi"/>
        </w:rPr>
        <w:tab/>
      </w:r>
    </w:p>
    <w:p w14:paraId="47596CF7" w14:textId="77777777" w:rsidR="000352C3" w:rsidRPr="000352C3" w:rsidRDefault="000352C3" w:rsidP="000352C3">
      <w:pPr>
        <w:numPr>
          <w:ilvl w:val="0"/>
          <w:numId w:val="4"/>
        </w:numPr>
        <w:spacing w:line="276" w:lineRule="auto"/>
        <w:ind w:hanging="210"/>
        <w:jc w:val="both"/>
        <w:rPr>
          <w:rFonts w:asciiTheme="minorHAnsi" w:hAnsiTheme="minorHAnsi"/>
          <w:sz w:val="22"/>
          <w:szCs w:val="22"/>
        </w:rPr>
      </w:pPr>
      <w:r w:rsidRPr="000352C3">
        <w:rPr>
          <w:rFonts w:asciiTheme="minorHAnsi" w:hAnsiTheme="minorHAnsi"/>
          <w:sz w:val="22"/>
          <w:szCs w:val="22"/>
        </w:rPr>
        <w:t>jednostki samorządu terytorialnego, ich związki i stowarzyszenia;</w:t>
      </w:r>
    </w:p>
    <w:p w14:paraId="4CB608A3" w14:textId="77777777" w:rsidR="000352C3" w:rsidRPr="000352C3" w:rsidRDefault="000352C3" w:rsidP="000352C3">
      <w:pPr>
        <w:numPr>
          <w:ilvl w:val="0"/>
          <w:numId w:val="4"/>
        </w:numPr>
        <w:spacing w:line="276" w:lineRule="auto"/>
        <w:ind w:hanging="210"/>
        <w:jc w:val="both"/>
        <w:rPr>
          <w:rFonts w:asciiTheme="minorHAnsi" w:hAnsiTheme="minorHAnsi"/>
          <w:sz w:val="22"/>
          <w:szCs w:val="22"/>
        </w:rPr>
      </w:pPr>
      <w:r w:rsidRPr="000352C3">
        <w:rPr>
          <w:rFonts w:asciiTheme="minorHAnsi" w:hAnsiTheme="minorHAnsi"/>
          <w:sz w:val="22"/>
          <w:szCs w:val="22"/>
        </w:rPr>
        <w:t>podmioty publiczne</w:t>
      </w:r>
      <w:r w:rsidRPr="000352C3">
        <w:rPr>
          <w:rStyle w:val="Odwoanieprzypisudolnego"/>
          <w:rFonts w:asciiTheme="minorHAnsi" w:hAnsiTheme="minorHAnsi"/>
          <w:sz w:val="22"/>
          <w:szCs w:val="22"/>
        </w:rPr>
        <w:footnoteReference w:id="5"/>
      </w:r>
      <w:r w:rsidRPr="000352C3">
        <w:rPr>
          <w:rFonts w:asciiTheme="minorHAnsi" w:hAnsiTheme="minorHAnsi"/>
          <w:sz w:val="22"/>
          <w:szCs w:val="22"/>
          <w:vertAlign w:val="superscript"/>
        </w:rPr>
        <w:t>,</w:t>
      </w:r>
      <w:r w:rsidRPr="000352C3">
        <w:rPr>
          <w:rStyle w:val="Odwoanieprzypisudolnego"/>
          <w:rFonts w:asciiTheme="minorHAnsi" w:hAnsiTheme="minorHAnsi"/>
          <w:sz w:val="22"/>
          <w:szCs w:val="22"/>
        </w:rPr>
        <w:footnoteReference w:id="6"/>
      </w:r>
      <w:r w:rsidRPr="000352C3">
        <w:rPr>
          <w:rFonts w:asciiTheme="minorHAnsi" w:hAnsiTheme="minorHAnsi"/>
          <w:sz w:val="22"/>
          <w:szCs w:val="22"/>
        </w:rPr>
        <w:t>, których właścicielem jest JST lub dla których podmiotem założycielskim jest JST;</w:t>
      </w:r>
    </w:p>
    <w:p w14:paraId="7E7624EF" w14:textId="68859A46" w:rsidR="000352C3" w:rsidRPr="000352C3" w:rsidRDefault="009D2B53" w:rsidP="000352C3">
      <w:pPr>
        <w:numPr>
          <w:ilvl w:val="0"/>
          <w:numId w:val="4"/>
        </w:numPr>
        <w:spacing w:line="276" w:lineRule="auto"/>
        <w:ind w:hanging="210"/>
        <w:jc w:val="both"/>
        <w:rPr>
          <w:rFonts w:asciiTheme="minorHAnsi" w:hAnsiTheme="minorHAnsi"/>
          <w:sz w:val="22"/>
          <w:szCs w:val="22"/>
        </w:rPr>
      </w:pPr>
      <w:r>
        <w:rPr>
          <w:rFonts w:asciiTheme="minorHAnsi" w:hAnsiTheme="minorHAnsi"/>
          <w:sz w:val="22"/>
          <w:szCs w:val="22"/>
        </w:rPr>
        <w:t>jednostki organizacyjne JST.</w:t>
      </w:r>
    </w:p>
    <w:p w14:paraId="099A4830" w14:textId="77777777" w:rsidR="0099049C" w:rsidRPr="0099049C" w:rsidRDefault="0099049C" w:rsidP="000352C3">
      <w:pPr>
        <w:spacing w:line="276" w:lineRule="auto"/>
        <w:jc w:val="both"/>
        <w:rPr>
          <w:rFonts w:asciiTheme="minorHAnsi" w:hAnsiTheme="minorHAnsi" w:cs="Arial"/>
          <w:sz w:val="22"/>
          <w:szCs w:val="22"/>
        </w:rPr>
      </w:pPr>
    </w:p>
    <w:p w14:paraId="5770BD48" w14:textId="77777777" w:rsidR="000352C3" w:rsidRPr="000352C3" w:rsidRDefault="000352C3" w:rsidP="000352C3">
      <w:pPr>
        <w:spacing w:line="276" w:lineRule="auto"/>
        <w:ind w:left="33"/>
        <w:contextualSpacing/>
        <w:jc w:val="both"/>
        <w:rPr>
          <w:rFonts w:asciiTheme="minorHAnsi" w:hAnsiTheme="minorHAnsi"/>
          <w:sz w:val="22"/>
          <w:szCs w:val="22"/>
        </w:rPr>
      </w:pPr>
      <w:r w:rsidRPr="000352C3">
        <w:rPr>
          <w:rFonts w:asciiTheme="minorHAnsi" w:hAnsiTheme="minorHAnsi"/>
          <w:sz w:val="22"/>
          <w:szCs w:val="22"/>
        </w:rPr>
        <w:t>Do identyfikacji podmiotu publicznego należy stosować definicję zapisaną w ustawie z dnia 19 grudnia 2008 r. o partnerstwie publiczno-prywatnym.</w:t>
      </w:r>
    </w:p>
    <w:p w14:paraId="1F309BDE" w14:textId="77777777" w:rsidR="008E3780" w:rsidRDefault="008E3780" w:rsidP="00440B2D">
      <w:pPr>
        <w:spacing w:line="276" w:lineRule="auto"/>
        <w:rPr>
          <w:rFonts w:asciiTheme="minorHAnsi" w:hAnsiTheme="minorHAnsi" w:cs="Calibri"/>
          <w:sz w:val="22"/>
          <w:szCs w:val="22"/>
        </w:rPr>
      </w:pPr>
    </w:p>
    <w:p w14:paraId="1F0D9B09" w14:textId="77777777" w:rsidR="008A4588" w:rsidRDefault="008A4588" w:rsidP="00440B2D">
      <w:pPr>
        <w:spacing w:line="276" w:lineRule="auto"/>
        <w:rPr>
          <w:rFonts w:asciiTheme="minorHAnsi" w:hAnsiTheme="minorHAnsi" w:cs="Calibri"/>
          <w:sz w:val="22"/>
          <w:szCs w:val="22"/>
        </w:rPr>
      </w:pPr>
    </w:p>
    <w:p w14:paraId="680174B2" w14:textId="77777777" w:rsidR="008A4588" w:rsidRDefault="008A4588" w:rsidP="00440B2D">
      <w:pPr>
        <w:spacing w:line="276" w:lineRule="auto"/>
        <w:rPr>
          <w:rFonts w:asciiTheme="minorHAnsi" w:hAnsiTheme="minorHAnsi" w:cs="Calibri"/>
          <w:sz w:val="22"/>
          <w:szCs w:val="22"/>
        </w:rPr>
      </w:pPr>
    </w:p>
    <w:p w14:paraId="1AE6B4FF" w14:textId="77777777" w:rsidR="008A4588" w:rsidRDefault="008A4588" w:rsidP="00440B2D">
      <w:pPr>
        <w:spacing w:line="276" w:lineRule="auto"/>
        <w:rPr>
          <w:rFonts w:asciiTheme="minorHAnsi" w:hAnsiTheme="minorHAnsi" w:cs="Calibri"/>
          <w:sz w:val="22"/>
          <w:szCs w:val="22"/>
        </w:rPr>
      </w:pPr>
    </w:p>
    <w:p w14:paraId="1FBA566F" w14:textId="77777777" w:rsidR="008A4588" w:rsidRDefault="008A4588" w:rsidP="00440B2D">
      <w:pPr>
        <w:spacing w:line="276" w:lineRule="auto"/>
        <w:rPr>
          <w:rFonts w:asciiTheme="minorHAnsi" w:hAnsiTheme="minorHAnsi" w:cs="Calibri"/>
          <w:sz w:val="22"/>
          <w:szCs w:val="22"/>
        </w:rPr>
      </w:pPr>
    </w:p>
    <w:p w14:paraId="26D84BC6" w14:textId="77777777" w:rsidR="00F3128B" w:rsidRPr="00A003F1" w:rsidRDefault="00F3128B" w:rsidP="00440B2D">
      <w:pPr>
        <w:spacing w:line="276" w:lineRule="auto"/>
        <w:rPr>
          <w:rFonts w:asciiTheme="minorHAnsi" w:hAnsiTheme="minorHAnsi" w:cs="Calibri"/>
          <w:sz w:val="22"/>
          <w:szCs w:val="22"/>
        </w:rPr>
      </w:pPr>
    </w:p>
    <w:p w14:paraId="52DFA047"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Środki przeznaczone na dofinansowanie projektów</w:t>
      </w:r>
    </w:p>
    <w:p w14:paraId="6814AA38" w14:textId="77777777" w:rsidR="00F2790E" w:rsidRPr="00E023F8" w:rsidRDefault="00F2790E" w:rsidP="00B173B3">
      <w:pPr>
        <w:rPr>
          <w:rFonts w:asciiTheme="minorHAnsi" w:hAnsiTheme="minorHAnsi"/>
          <w:sz w:val="22"/>
          <w:szCs w:val="22"/>
        </w:rPr>
      </w:pPr>
    </w:p>
    <w:p w14:paraId="5E199453" w14:textId="77777777" w:rsidR="00C73A61" w:rsidRPr="00C73A61" w:rsidRDefault="00C73A61" w:rsidP="00C73A61">
      <w:pPr>
        <w:autoSpaceDE w:val="0"/>
        <w:autoSpaceDN w:val="0"/>
        <w:adjustRightInd w:val="0"/>
        <w:spacing w:line="276" w:lineRule="auto"/>
        <w:jc w:val="both"/>
        <w:rPr>
          <w:rFonts w:ascii="Calibri" w:hAnsi="Calibri"/>
          <w:sz w:val="22"/>
          <w:szCs w:val="22"/>
        </w:rPr>
      </w:pPr>
      <w:r w:rsidRPr="00C73A61">
        <w:rPr>
          <w:rFonts w:asciiTheme="minorHAnsi" w:hAnsiTheme="minorHAnsi"/>
          <w:sz w:val="22"/>
          <w:szCs w:val="22"/>
        </w:rPr>
        <w:t xml:space="preserve">Zgodnie z postanowieniami Harmonogramu naborów wniosków o dofinansowanie w trybie konkursowym dla RPO WD 2014-2020, przyjętego Uchwałą Zarządu Województwa Dolnośląskiego </w:t>
      </w:r>
      <w:r w:rsidRPr="00C73A61">
        <w:rPr>
          <w:rFonts w:ascii="Calibri" w:hAnsi="Calibri"/>
          <w:sz w:val="22"/>
          <w:szCs w:val="22"/>
        </w:rPr>
        <w:t xml:space="preserve">na realizację Działania 3.3, </w:t>
      </w:r>
      <w:r w:rsidRPr="00C73A61">
        <w:rPr>
          <w:rFonts w:asciiTheme="minorHAnsi" w:hAnsiTheme="minorHAnsi"/>
          <w:iCs/>
          <w:sz w:val="22"/>
          <w:szCs w:val="22"/>
        </w:rPr>
        <w:t>Podziałania 3.3.1, Typu 3.3 C</w:t>
      </w:r>
      <w:r w:rsidRPr="00C73A61">
        <w:rPr>
          <w:rFonts w:ascii="Calibri" w:hAnsi="Calibri"/>
          <w:sz w:val="22"/>
          <w:szCs w:val="22"/>
        </w:rPr>
        <w:t>, przewidziano:</w:t>
      </w:r>
    </w:p>
    <w:p w14:paraId="165C1EA1" w14:textId="77777777" w:rsidR="00C73A61" w:rsidRPr="00C73A61" w:rsidRDefault="00C73A61" w:rsidP="00C73A61">
      <w:pPr>
        <w:autoSpaceDE w:val="0"/>
        <w:autoSpaceDN w:val="0"/>
        <w:adjustRightInd w:val="0"/>
        <w:spacing w:line="276" w:lineRule="auto"/>
        <w:jc w:val="both"/>
        <w:rPr>
          <w:rFonts w:asciiTheme="minorHAnsi" w:hAnsiTheme="minorHAnsi"/>
          <w:sz w:val="22"/>
          <w:szCs w:val="22"/>
        </w:rPr>
      </w:pPr>
    </w:p>
    <w:p w14:paraId="670FBE3C" w14:textId="34706621" w:rsidR="00C73A61" w:rsidRPr="00C73A61" w:rsidRDefault="00C73A61" w:rsidP="00C73A61">
      <w:pPr>
        <w:autoSpaceDE w:val="0"/>
        <w:autoSpaceDN w:val="0"/>
        <w:adjustRightInd w:val="0"/>
        <w:spacing w:line="276" w:lineRule="auto"/>
        <w:jc w:val="center"/>
        <w:rPr>
          <w:rFonts w:asciiTheme="minorHAnsi" w:hAnsiTheme="minorHAnsi"/>
        </w:rPr>
      </w:pPr>
      <w:r w:rsidRPr="00C73A61">
        <w:rPr>
          <w:rFonts w:asciiTheme="minorHAnsi" w:eastAsia="Calibri" w:hAnsiTheme="minorHAnsi" w:cstheme="minorBidi"/>
          <w:b/>
          <w:lang w:eastAsia="en-US"/>
        </w:rPr>
        <w:t xml:space="preserve">3 130 856,00  </w:t>
      </w:r>
      <w:r w:rsidRPr="00C73A61">
        <w:rPr>
          <w:rFonts w:asciiTheme="minorHAnsi" w:eastAsia="Calibri" w:hAnsiTheme="minorHAnsi"/>
          <w:b/>
        </w:rPr>
        <w:t>EUR</w:t>
      </w:r>
    </w:p>
    <w:p w14:paraId="6201E307" w14:textId="77777777" w:rsidR="00C73A61" w:rsidRPr="00C73A61" w:rsidRDefault="00C73A61" w:rsidP="00C73A61">
      <w:pPr>
        <w:autoSpaceDE w:val="0"/>
        <w:autoSpaceDN w:val="0"/>
        <w:adjustRightInd w:val="0"/>
        <w:spacing w:line="276" w:lineRule="auto"/>
        <w:jc w:val="center"/>
        <w:rPr>
          <w:rFonts w:ascii="Calibri" w:hAnsi="Calibri"/>
          <w:sz w:val="18"/>
          <w:szCs w:val="18"/>
        </w:rPr>
      </w:pPr>
      <w:r w:rsidRPr="00C73A61">
        <w:rPr>
          <w:rFonts w:asciiTheme="minorHAnsi" w:hAnsiTheme="minorHAnsi"/>
          <w:sz w:val="22"/>
          <w:szCs w:val="22"/>
        </w:rPr>
        <w:t xml:space="preserve">(PLN </w:t>
      </w:r>
      <w:r w:rsidRPr="00C73A61">
        <w:rPr>
          <w:rFonts w:asciiTheme="minorHAnsi" w:hAnsiTheme="minorHAnsi" w:cs="Calibri"/>
          <w:b/>
          <w:sz w:val="22"/>
          <w:szCs w:val="22"/>
        </w:rPr>
        <w:t>13 558 798,08</w:t>
      </w:r>
      <w:r w:rsidRPr="00C73A61">
        <w:rPr>
          <w:rFonts w:asciiTheme="minorHAnsi" w:hAnsiTheme="minorHAnsi" w:cs="Calibri"/>
          <w:sz w:val="22"/>
          <w:szCs w:val="22"/>
        </w:rPr>
        <w:t xml:space="preserve"> </w:t>
      </w:r>
      <w:r w:rsidRPr="00C73A61">
        <w:rPr>
          <w:rFonts w:asciiTheme="minorHAnsi" w:hAnsiTheme="minorHAnsi"/>
          <w:sz w:val="22"/>
          <w:szCs w:val="22"/>
        </w:rPr>
        <w:t xml:space="preserve">*, kurs </w:t>
      </w:r>
      <w:r w:rsidRPr="00C73A61">
        <w:rPr>
          <w:rFonts w:asciiTheme="minorHAnsi" w:hAnsiTheme="minorHAnsi" w:cs="Calibri"/>
          <w:b/>
          <w:sz w:val="22"/>
          <w:szCs w:val="22"/>
        </w:rPr>
        <w:t xml:space="preserve">4,3307 </w:t>
      </w:r>
      <w:r w:rsidRPr="00C73A61">
        <w:rPr>
          <w:rFonts w:asciiTheme="minorHAnsi" w:hAnsiTheme="minorHAnsi" w:cs="Arial"/>
          <w:b/>
          <w:sz w:val="22"/>
          <w:szCs w:val="22"/>
        </w:rPr>
        <w:t>PLN</w:t>
      </w:r>
      <w:r w:rsidRPr="00C73A61">
        <w:rPr>
          <w:rFonts w:asciiTheme="minorHAnsi" w:hAnsiTheme="minorHAnsi" w:cs="Calibri"/>
          <w:b/>
          <w:sz w:val="22"/>
          <w:szCs w:val="22"/>
        </w:rPr>
        <w:t xml:space="preserve">** </w:t>
      </w:r>
      <w:r w:rsidRPr="00C73A61">
        <w:rPr>
          <w:rFonts w:asciiTheme="minorHAnsi" w:hAnsiTheme="minorHAnsi" w:cs="Calibri"/>
          <w:sz w:val="22"/>
          <w:szCs w:val="22"/>
        </w:rPr>
        <w:t>z dnia 30 października 2018 r.</w:t>
      </w:r>
      <w:r w:rsidRPr="00C73A61">
        <w:rPr>
          <w:rFonts w:asciiTheme="minorHAnsi" w:hAnsiTheme="minorHAnsi"/>
          <w:sz w:val="22"/>
          <w:szCs w:val="22"/>
        </w:rPr>
        <w:t>)</w:t>
      </w:r>
    </w:p>
    <w:p w14:paraId="7D6F7E92" w14:textId="77777777" w:rsidR="00C73A61" w:rsidRPr="00C73A61" w:rsidRDefault="00C73A61" w:rsidP="00C73A61">
      <w:pPr>
        <w:autoSpaceDE w:val="0"/>
        <w:autoSpaceDN w:val="0"/>
        <w:adjustRightInd w:val="0"/>
        <w:spacing w:line="276" w:lineRule="auto"/>
        <w:jc w:val="both"/>
        <w:rPr>
          <w:rFonts w:asciiTheme="minorHAnsi" w:hAnsiTheme="minorHAnsi"/>
          <w:sz w:val="18"/>
          <w:szCs w:val="18"/>
        </w:rPr>
      </w:pPr>
    </w:p>
    <w:p w14:paraId="3957B0FC" w14:textId="77777777" w:rsidR="00C73A61" w:rsidRPr="00C73A61" w:rsidRDefault="00C73A61" w:rsidP="00C73A61">
      <w:pPr>
        <w:autoSpaceDE w:val="0"/>
        <w:autoSpaceDN w:val="0"/>
        <w:adjustRightInd w:val="0"/>
        <w:spacing w:line="276" w:lineRule="auto"/>
        <w:jc w:val="both"/>
        <w:rPr>
          <w:rFonts w:ascii="Calibri" w:hAnsi="Calibri"/>
          <w:sz w:val="18"/>
          <w:szCs w:val="18"/>
        </w:rPr>
      </w:pPr>
      <w:r w:rsidRPr="00C73A61">
        <w:rPr>
          <w:rFonts w:asciiTheme="minorHAnsi" w:hAnsiTheme="minorHAnsi"/>
          <w:sz w:val="18"/>
          <w:szCs w:val="18"/>
        </w:rPr>
        <w:t>*</w:t>
      </w:r>
      <w:r w:rsidRPr="00C73A61">
        <w:t>w</w:t>
      </w:r>
      <w:r w:rsidRPr="00C73A61">
        <w:rPr>
          <w:rFonts w:ascii="Calibri" w:hAnsi="Calibri"/>
          <w:sz w:val="18"/>
          <w:szCs w:val="18"/>
        </w:rPr>
        <w:t xml:space="preserve"> tym na procedurę odwoławczą 15% kwoty przeznaczonej na konkurs. </w:t>
      </w:r>
    </w:p>
    <w:p w14:paraId="742D7674" w14:textId="77777777" w:rsidR="00C73A61" w:rsidRPr="00C73A61" w:rsidRDefault="00C73A61" w:rsidP="00C73A61">
      <w:pPr>
        <w:autoSpaceDE w:val="0"/>
        <w:autoSpaceDN w:val="0"/>
        <w:adjustRightInd w:val="0"/>
        <w:spacing w:line="276" w:lineRule="auto"/>
        <w:jc w:val="both"/>
        <w:rPr>
          <w:rFonts w:ascii="Calibri" w:hAnsi="Calibri"/>
          <w:sz w:val="18"/>
          <w:szCs w:val="18"/>
        </w:rPr>
      </w:pPr>
      <w:r w:rsidRPr="00C73A61">
        <w:rPr>
          <w:rFonts w:ascii="Calibri" w:hAnsi="Calibri"/>
          <w:sz w:val="18"/>
          <w:szCs w:val="18"/>
        </w:rPr>
        <w:t>** Ze względu na kurs EUR limit dostępnych środków może ulec zmianie. Z tego powodu dokładna kwota dofinansowania zostanie określona na etapie rozstrzygnięcia konkursu..</w:t>
      </w:r>
    </w:p>
    <w:p w14:paraId="0F264837" w14:textId="77777777" w:rsidR="00C73A61" w:rsidRPr="00C73A61" w:rsidRDefault="00C73A61" w:rsidP="00C73A61">
      <w:pPr>
        <w:autoSpaceDE w:val="0"/>
        <w:autoSpaceDN w:val="0"/>
        <w:adjustRightInd w:val="0"/>
        <w:spacing w:line="276" w:lineRule="auto"/>
        <w:jc w:val="both"/>
        <w:rPr>
          <w:rFonts w:ascii="Calibri" w:hAnsi="Calibri"/>
          <w:sz w:val="18"/>
          <w:szCs w:val="18"/>
        </w:rPr>
      </w:pPr>
    </w:p>
    <w:p w14:paraId="4AAD1410" w14:textId="77777777" w:rsidR="00C73A61" w:rsidRPr="00C73A61" w:rsidRDefault="00C73A61" w:rsidP="00C73A61">
      <w:pPr>
        <w:autoSpaceDE w:val="0"/>
        <w:autoSpaceDN w:val="0"/>
        <w:adjustRightInd w:val="0"/>
        <w:spacing w:line="276" w:lineRule="auto"/>
        <w:jc w:val="both"/>
        <w:rPr>
          <w:rFonts w:asciiTheme="minorHAnsi" w:hAnsiTheme="minorHAnsi"/>
          <w:sz w:val="22"/>
          <w:szCs w:val="22"/>
        </w:rPr>
      </w:pPr>
      <w:r w:rsidRPr="00C73A61">
        <w:rPr>
          <w:rFonts w:asciiTheme="minorHAnsi" w:hAnsiTheme="minorHAnsi"/>
          <w:sz w:val="22"/>
          <w:szCs w:val="22"/>
        </w:rPr>
        <w:t xml:space="preserve">Ze względu na uwolnione środki po rozwiązaniu umów o dofinansowanie w projektach realizowanych na Obszarze Interwencji Równiny Wrocławskiej (OIRW) oraz Obszarze Interwencji Doliny Baryczy (OIDB) konkurs będzie ukierunkowany tylko na ww. na Obszary Strategicznej Interwencji. </w:t>
      </w:r>
    </w:p>
    <w:p w14:paraId="6CE7787C" w14:textId="77777777" w:rsidR="00C73A61" w:rsidRPr="00C73A61" w:rsidRDefault="00C73A61" w:rsidP="00C73A61">
      <w:pPr>
        <w:autoSpaceDE w:val="0"/>
        <w:autoSpaceDN w:val="0"/>
        <w:adjustRightInd w:val="0"/>
        <w:spacing w:line="276" w:lineRule="auto"/>
        <w:jc w:val="both"/>
        <w:rPr>
          <w:rFonts w:asciiTheme="minorHAnsi" w:hAnsiTheme="minorHAnsi"/>
        </w:rPr>
      </w:pPr>
    </w:p>
    <w:p w14:paraId="0706229D" w14:textId="77777777" w:rsidR="00C73A61" w:rsidRPr="00C73A61" w:rsidRDefault="00C73A61" w:rsidP="00C73A61">
      <w:pPr>
        <w:autoSpaceDE w:val="0"/>
        <w:spacing w:line="276" w:lineRule="auto"/>
        <w:contextualSpacing/>
        <w:jc w:val="both"/>
        <w:rPr>
          <w:rFonts w:asciiTheme="minorHAnsi" w:hAnsiTheme="minorHAnsi"/>
          <w:sz w:val="22"/>
          <w:szCs w:val="22"/>
        </w:rPr>
      </w:pPr>
      <w:r w:rsidRPr="00C73A61">
        <w:rPr>
          <w:rFonts w:asciiTheme="minorHAnsi" w:hAnsiTheme="minorHAnsi"/>
          <w:sz w:val="22"/>
          <w:szCs w:val="22"/>
        </w:rPr>
        <w:t>Alokacja w ramach konkursu zostanie podzielona w następujący sposób:</w:t>
      </w:r>
    </w:p>
    <w:p w14:paraId="116A945D" w14:textId="77777777" w:rsidR="00C73A61" w:rsidRPr="00C73A61" w:rsidRDefault="00C73A61" w:rsidP="00C73A61">
      <w:pPr>
        <w:spacing w:line="276" w:lineRule="auto"/>
        <w:jc w:val="both"/>
        <w:rPr>
          <w:rFonts w:asciiTheme="minorHAnsi" w:hAnsiTheme="minorHAnsi" w:cs="Arial"/>
          <w:b/>
          <w:sz w:val="22"/>
          <w:szCs w:val="22"/>
        </w:rPr>
      </w:pPr>
      <w:r w:rsidRPr="00C73A61">
        <w:rPr>
          <w:rFonts w:asciiTheme="minorHAnsi" w:hAnsiTheme="minorHAnsi" w:cs="Arial"/>
          <w:b/>
          <w:sz w:val="22"/>
          <w:szCs w:val="22"/>
        </w:rPr>
        <w:t>Obszar Interwencji Równiny Wrocławskiej   - 1 008 041 EUR, tj. 4 365 523,16 PLN,</w:t>
      </w:r>
    </w:p>
    <w:p w14:paraId="40CA7785" w14:textId="3D72580A" w:rsidR="00C73A61" w:rsidRPr="00C73A61" w:rsidRDefault="00C73A61" w:rsidP="00C73A61">
      <w:pPr>
        <w:spacing w:line="276" w:lineRule="auto"/>
        <w:jc w:val="both"/>
        <w:rPr>
          <w:rFonts w:asciiTheme="minorHAnsi" w:hAnsiTheme="minorHAnsi"/>
          <w:sz w:val="22"/>
          <w:szCs w:val="22"/>
        </w:rPr>
      </w:pPr>
      <w:r w:rsidRPr="00C73A61">
        <w:rPr>
          <w:rFonts w:asciiTheme="minorHAnsi" w:hAnsiTheme="minorHAnsi" w:cs="Arial"/>
          <w:b/>
          <w:sz w:val="22"/>
          <w:szCs w:val="22"/>
        </w:rPr>
        <w:t xml:space="preserve">Obszar Interwencji Doliny Baryczy   - 2 122 815 EUR, tj. 9 193 274,92 PLN wg kursu </w:t>
      </w:r>
      <w:r w:rsidRPr="00C73A61">
        <w:rPr>
          <w:rFonts w:asciiTheme="minorHAnsi" w:hAnsiTheme="minorHAnsi" w:cs="Calibri"/>
          <w:b/>
          <w:sz w:val="22"/>
          <w:szCs w:val="22"/>
        </w:rPr>
        <w:t xml:space="preserve">1 Euro = 4,3307 </w:t>
      </w:r>
      <w:r w:rsidRPr="00C73A61">
        <w:rPr>
          <w:rFonts w:asciiTheme="minorHAnsi" w:hAnsiTheme="minorHAnsi" w:cs="Arial"/>
          <w:b/>
          <w:sz w:val="22"/>
          <w:szCs w:val="22"/>
        </w:rPr>
        <w:t xml:space="preserve">PLN </w:t>
      </w:r>
      <w:r w:rsidRPr="00C73A61">
        <w:rPr>
          <w:rFonts w:asciiTheme="minorHAnsi" w:hAnsiTheme="minorHAnsi" w:cs="Calibri"/>
          <w:sz w:val="22"/>
          <w:szCs w:val="22"/>
        </w:rPr>
        <w:t>(kurs według Europejskiego Banku Centralnego z przedostatniego dnia roboczego miesiąca poprzedzającego miesiąc ogłoszenia tj. z dnia 30.10.2018 r.)</w:t>
      </w:r>
      <w:r w:rsidR="0099049C">
        <w:rPr>
          <w:rFonts w:asciiTheme="minorHAnsi" w:hAnsiTheme="minorHAnsi" w:cs="Calibri"/>
          <w:sz w:val="22"/>
          <w:szCs w:val="22"/>
        </w:rPr>
        <w:t>.</w:t>
      </w:r>
    </w:p>
    <w:p w14:paraId="76A8D9C0" w14:textId="77777777" w:rsidR="00C73A61" w:rsidRPr="00C73A61" w:rsidRDefault="00C73A61" w:rsidP="00C73A61">
      <w:pPr>
        <w:autoSpaceDE w:val="0"/>
        <w:autoSpaceDN w:val="0"/>
        <w:adjustRightInd w:val="0"/>
        <w:spacing w:line="276" w:lineRule="auto"/>
        <w:jc w:val="both"/>
        <w:rPr>
          <w:rFonts w:ascii="Calibri" w:hAnsi="Calibri"/>
          <w:sz w:val="18"/>
          <w:szCs w:val="18"/>
        </w:rPr>
      </w:pPr>
    </w:p>
    <w:p w14:paraId="11BFEFF4" w14:textId="77777777" w:rsidR="00FB0679" w:rsidRDefault="00FB0679" w:rsidP="00440B2D">
      <w:pPr>
        <w:autoSpaceDE w:val="0"/>
        <w:contextualSpacing/>
        <w:rPr>
          <w:rFonts w:asciiTheme="minorHAnsi" w:hAnsiTheme="minorHAnsi"/>
          <w:sz w:val="22"/>
          <w:szCs w:val="22"/>
        </w:rPr>
      </w:pPr>
    </w:p>
    <w:p w14:paraId="0B651FE3" w14:textId="77777777" w:rsidR="006755EB" w:rsidRPr="00A003F1" w:rsidRDefault="006755EB" w:rsidP="00440B2D">
      <w:pPr>
        <w:autoSpaceDE w:val="0"/>
        <w:contextualSpacing/>
        <w:rPr>
          <w:rFonts w:asciiTheme="minorHAnsi" w:hAnsiTheme="minorHAnsi"/>
          <w:sz w:val="22"/>
          <w:szCs w:val="22"/>
        </w:rPr>
      </w:pPr>
    </w:p>
    <w:p w14:paraId="4184FC70"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Zasady finansowania projektu</w:t>
      </w:r>
    </w:p>
    <w:p w14:paraId="25D53EA3" w14:textId="77777777" w:rsidR="00436F1C" w:rsidRPr="00C73A61" w:rsidRDefault="00436F1C" w:rsidP="00440B2D">
      <w:pPr>
        <w:pStyle w:val="Default"/>
        <w:spacing w:line="276" w:lineRule="auto"/>
        <w:rPr>
          <w:rFonts w:asciiTheme="minorHAnsi" w:hAnsiTheme="minorHAnsi" w:cs="Arial"/>
          <w:b/>
          <w:color w:val="auto"/>
          <w:sz w:val="22"/>
          <w:szCs w:val="22"/>
          <w:u w:val="single"/>
        </w:rPr>
      </w:pPr>
    </w:p>
    <w:p w14:paraId="00D0C6EA" w14:textId="570AC79E" w:rsidR="007200E8" w:rsidRPr="00C73A61" w:rsidRDefault="003C2DCB" w:rsidP="00F40FDC">
      <w:pPr>
        <w:tabs>
          <w:tab w:val="left" w:pos="3290"/>
        </w:tabs>
        <w:spacing w:line="276" w:lineRule="auto"/>
        <w:jc w:val="both"/>
        <w:rPr>
          <w:rFonts w:ascii="Calibri" w:eastAsiaTheme="minorHAnsi" w:hAnsi="Calibri" w:cstheme="minorBidi"/>
          <w:b/>
          <w:bCs/>
          <w:sz w:val="22"/>
          <w:szCs w:val="22"/>
          <w:shd w:val="clear" w:color="auto" w:fill="FFFFFF" w:themeFill="background1"/>
          <w:lang w:eastAsia="en-US"/>
        </w:rPr>
      </w:pPr>
      <w:r w:rsidRPr="00C73A61">
        <w:rPr>
          <w:rFonts w:ascii="Calibri" w:eastAsiaTheme="minorHAnsi" w:hAnsi="Calibri" w:cstheme="minorBidi"/>
          <w:b/>
          <w:bCs/>
          <w:sz w:val="22"/>
          <w:szCs w:val="22"/>
          <w:lang w:eastAsia="en-US"/>
        </w:rPr>
        <w:t>Minimalna</w:t>
      </w:r>
      <w:r w:rsidRPr="00C73A61">
        <w:rPr>
          <w:rFonts w:ascii="Calibri" w:eastAsiaTheme="minorHAnsi" w:hAnsi="Calibri" w:cstheme="minorBidi"/>
          <w:b/>
          <w:bCs/>
          <w:sz w:val="22"/>
          <w:szCs w:val="22"/>
          <w:shd w:val="clear" w:color="auto" w:fill="FFFFFF" w:themeFill="background1"/>
          <w:lang w:eastAsia="en-US"/>
        </w:rPr>
        <w:t xml:space="preserve"> wartość </w:t>
      </w:r>
      <w:r w:rsidR="00C73A61" w:rsidRPr="00C73A61">
        <w:rPr>
          <w:rFonts w:ascii="Calibri" w:eastAsiaTheme="minorHAnsi" w:hAnsi="Calibri" w:cstheme="minorBidi"/>
          <w:b/>
          <w:bCs/>
          <w:sz w:val="22"/>
          <w:szCs w:val="22"/>
          <w:shd w:val="clear" w:color="auto" w:fill="FFFFFF" w:themeFill="background1"/>
          <w:lang w:eastAsia="en-US"/>
        </w:rPr>
        <w:t xml:space="preserve">całkowitego </w:t>
      </w:r>
      <w:r w:rsidRPr="00C73A61">
        <w:rPr>
          <w:rFonts w:ascii="Calibri" w:eastAsiaTheme="minorHAnsi" w:hAnsi="Calibri" w:cstheme="minorBidi"/>
          <w:b/>
          <w:bCs/>
          <w:sz w:val="22"/>
          <w:szCs w:val="22"/>
          <w:shd w:val="clear" w:color="auto" w:fill="FFFFFF" w:themeFill="background1"/>
          <w:lang w:eastAsia="en-US"/>
        </w:rPr>
        <w:t>w</w:t>
      </w:r>
      <w:r w:rsidR="007200E8" w:rsidRPr="00C73A61">
        <w:rPr>
          <w:rFonts w:ascii="Calibri" w:eastAsiaTheme="minorHAnsi" w:hAnsi="Calibri" w:cstheme="minorBidi"/>
          <w:b/>
          <w:bCs/>
          <w:sz w:val="22"/>
          <w:szCs w:val="22"/>
          <w:shd w:val="clear" w:color="auto" w:fill="FFFFFF" w:themeFill="background1"/>
          <w:lang w:eastAsia="en-US"/>
        </w:rPr>
        <w:t>nioskowanego dofinansowania projektu wynosi 500 000 PLN.</w:t>
      </w:r>
    </w:p>
    <w:p w14:paraId="646BAE5C" w14:textId="77777777" w:rsidR="007200E8" w:rsidRPr="00C73A61" w:rsidRDefault="007200E8" w:rsidP="005E1E21">
      <w:pPr>
        <w:tabs>
          <w:tab w:val="left" w:pos="3290"/>
        </w:tabs>
        <w:jc w:val="both"/>
        <w:rPr>
          <w:rFonts w:ascii="Calibri" w:eastAsiaTheme="minorHAnsi" w:hAnsi="Calibri" w:cstheme="minorBidi"/>
          <w:b/>
          <w:bCs/>
          <w:sz w:val="22"/>
          <w:szCs w:val="22"/>
          <w:shd w:val="clear" w:color="auto" w:fill="FFFFFF" w:themeFill="background1"/>
          <w:lang w:eastAsia="en-US"/>
        </w:rPr>
      </w:pPr>
    </w:p>
    <w:p w14:paraId="56935F3B" w14:textId="77777777" w:rsidR="005E1E21" w:rsidRPr="00C73A61" w:rsidRDefault="005E1E21" w:rsidP="00F40FDC">
      <w:pPr>
        <w:pStyle w:val="Default"/>
        <w:spacing w:line="276" w:lineRule="auto"/>
        <w:rPr>
          <w:rFonts w:asciiTheme="minorHAnsi" w:hAnsiTheme="minorHAnsi" w:cs="Arial"/>
          <w:color w:val="auto"/>
          <w:sz w:val="22"/>
          <w:szCs w:val="22"/>
        </w:rPr>
      </w:pPr>
    </w:p>
    <w:p w14:paraId="283F2916" w14:textId="2072DFE4" w:rsidR="002D5143" w:rsidRPr="00C73A61" w:rsidRDefault="00436F1C" w:rsidP="00F40FDC">
      <w:pPr>
        <w:spacing w:line="276" w:lineRule="auto"/>
        <w:rPr>
          <w:rFonts w:asciiTheme="minorHAnsi" w:hAnsiTheme="minorHAnsi" w:cs="Arial"/>
          <w:sz w:val="22"/>
          <w:szCs w:val="22"/>
        </w:rPr>
      </w:pPr>
      <w:r w:rsidRPr="00C73A61">
        <w:rPr>
          <w:rFonts w:asciiTheme="minorHAnsi" w:hAnsiTheme="minorHAnsi"/>
          <w:b/>
          <w:sz w:val="22"/>
          <w:szCs w:val="22"/>
          <w:lang w:eastAsia="en-US"/>
        </w:rPr>
        <w:t>Miejsce realizacji projektu:</w:t>
      </w:r>
      <w:r w:rsidRPr="00C73A61">
        <w:rPr>
          <w:rFonts w:asciiTheme="minorHAnsi" w:hAnsiTheme="minorHAnsi"/>
          <w:sz w:val="22"/>
          <w:szCs w:val="22"/>
          <w:lang w:eastAsia="en-US"/>
        </w:rPr>
        <w:t xml:space="preserve"> </w:t>
      </w:r>
      <w:r w:rsidRPr="00C73A61">
        <w:rPr>
          <w:rFonts w:asciiTheme="minorHAnsi" w:hAnsiTheme="minorHAnsi" w:cs="Arial"/>
          <w:sz w:val="22"/>
          <w:szCs w:val="22"/>
        </w:rPr>
        <w:t xml:space="preserve">zgodnie z </w:t>
      </w:r>
      <w:r w:rsidR="00983038" w:rsidRPr="00C73A61">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8C10FD">
        <w:rPr>
          <w:rFonts w:asciiTheme="minorHAnsi" w:hAnsiTheme="minorHAnsi" w:cs="Arial"/>
          <w:sz w:val="22"/>
          <w:szCs w:val="22"/>
        </w:rPr>
        <w:t>.</w:t>
      </w:r>
    </w:p>
    <w:p w14:paraId="0A73A552" w14:textId="77777777" w:rsidR="00E023F8" w:rsidRDefault="00E023F8" w:rsidP="00440B2D">
      <w:pPr>
        <w:autoSpaceDE w:val="0"/>
        <w:autoSpaceDN w:val="0"/>
        <w:spacing w:line="276" w:lineRule="auto"/>
        <w:rPr>
          <w:rFonts w:asciiTheme="minorHAnsi" w:hAnsiTheme="minorHAnsi"/>
          <w:i/>
          <w:iCs/>
          <w:sz w:val="22"/>
          <w:szCs w:val="22"/>
          <w:lang w:eastAsia="en-US"/>
        </w:rPr>
      </w:pPr>
    </w:p>
    <w:p w14:paraId="456341C8" w14:textId="77777777" w:rsidR="00CF4289" w:rsidRPr="00A003F1" w:rsidRDefault="00CF4289" w:rsidP="00440B2D">
      <w:pPr>
        <w:autoSpaceDE w:val="0"/>
        <w:autoSpaceDN w:val="0"/>
        <w:spacing w:line="276" w:lineRule="auto"/>
        <w:rPr>
          <w:rFonts w:asciiTheme="minorHAnsi" w:hAnsiTheme="minorHAnsi"/>
          <w:i/>
          <w:iCs/>
          <w:sz w:val="22"/>
          <w:szCs w:val="22"/>
          <w:lang w:eastAsia="en-US"/>
        </w:rPr>
      </w:pPr>
    </w:p>
    <w:p w14:paraId="1199EB7F"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 xml:space="preserve">Poziom dofinansowania projektów </w:t>
      </w:r>
    </w:p>
    <w:p w14:paraId="58EC1D29" w14:textId="77777777" w:rsidR="00F2790E" w:rsidRPr="00A003F1" w:rsidRDefault="00F2790E" w:rsidP="00440B2D">
      <w:pPr>
        <w:autoSpaceDE w:val="0"/>
        <w:contextualSpacing/>
        <w:rPr>
          <w:rFonts w:asciiTheme="minorHAnsi" w:hAnsiTheme="minorHAnsi" w:cs="Calibri"/>
          <w:b/>
          <w:bCs/>
          <w:sz w:val="22"/>
          <w:szCs w:val="22"/>
        </w:rPr>
      </w:pPr>
    </w:p>
    <w:p w14:paraId="191D619C" w14:textId="77777777" w:rsidR="00C73A61" w:rsidRPr="00C73A61" w:rsidRDefault="00C73A61" w:rsidP="00C73A61">
      <w:pPr>
        <w:shd w:val="clear" w:color="auto" w:fill="FFFFFF" w:themeFill="background1"/>
        <w:suppressAutoHyphens/>
        <w:spacing w:line="276" w:lineRule="auto"/>
        <w:jc w:val="both"/>
        <w:rPr>
          <w:rFonts w:asciiTheme="minorHAnsi" w:eastAsia="Droid Sans Fallback" w:hAnsiTheme="minorHAnsi" w:cs="Calibri"/>
          <w:sz w:val="22"/>
          <w:szCs w:val="22"/>
        </w:rPr>
      </w:pPr>
      <w:r w:rsidRPr="00C73A61">
        <w:rPr>
          <w:rFonts w:asciiTheme="minorHAnsi" w:eastAsia="Droid Sans Fallback" w:hAnsiTheme="minorHAnsi" w:cs="Calibri"/>
          <w:sz w:val="22"/>
          <w:szCs w:val="22"/>
        </w:rPr>
        <w:t xml:space="preserve">Maksymalny poziom dofinansowania UE na poziomie projektu wynosi: </w:t>
      </w:r>
    </w:p>
    <w:p w14:paraId="17366F59" w14:textId="77777777" w:rsidR="00C73A61" w:rsidRPr="00C73A61" w:rsidRDefault="00C73A61" w:rsidP="00C73A61">
      <w:pPr>
        <w:pStyle w:val="Default"/>
        <w:numPr>
          <w:ilvl w:val="0"/>
          <w:numId w:val="27"/>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w przypadku projektu nieobjętego pomocą publiczną – maksymalnie 85% kosztów kwalifikowalnych (z ewentualnym uwzględnieniem dochodu);</w:t>
      </w:r>
    </w:p>
    <w:p w14:paraId="1E5A5C5C" w14:textId="77777777" w:rsidR="00C73A61" w:rsidRPr="00C73A61" w:rsidRDefault="00C73A61" w:rsidP="00C73A61">
      <w:pPr>
        <w:pStyle w:val="Default"/>
        <w:numPr>
          <w:ilvl w:val="0"/>
          <w:numId w:val="27"/>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w przypadku projektu objętego pomocą publiczną – w wysokości wynikającej z reguł pomocy publicznej (na podstawie GBER odpowiednio dla art. 37, 38 oraz 41) ale nie więcej niż 85%,</w:t>
      </w:r>
    </w:p>
    <w:p w14:paraId="0B9603A7" w14:textId="77777777" w:rsidR="00C73A61" w:rsidRPr="00C73A61" w:rsidRDefault="00C73A61" w:rsidP="00C73A61">
      <w:pPr>
        <w:pStyle w:val="Default"/>
        <w:numPr>
          <w:ilvl w:val="0"/>
          <w:numId w:val="27"/>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 xml:space="preserve">w przypadku projektu objętego pomocą de </w:t>
      </w:r>
      <w:proofErr w:type="spellStart"/>
      <w:r w:rsidRPr="00C73A61">
        <w:rPr>
          <w:rFonts w:asciiTheme="minorHAnsi" w:hAnsiTheme="minorHAnsi"/>
          <w:color w:val="auto"/>
          <w:sz w:val="22"/>
          <w:szCs w:val="22"/>
        </w:rPr>
        <w:t>minimis</w:t>
      </w:r>
      <w:proofErr w:type="spellEnd"/>
      <w:r w:rsidRPr="00C73A61">
        <w:rPr>
          <w:rFonts w:asciiTheme="minorHAnsi" w:hAnsiTheme="minorHAnsi"/>
          <w:color w:val="auto"/>
          <w:sz w:val="22"/>
          <w:szCs w:val="22"/>
        </w:rPr>
        <w:t xml:space="preserve">, maksymalny poziom dofinansowania wyniesie 85%, ale nie więcej niż równowartość 200 000 euro dla podmiotu na 3 lata podatkowe </w:t>
      </w:r>
      <w:r w:rsidRPr="00C73A61">
        <w:rPr>
          <w:rFonts w:asciiTheme="minorHAnsi" w:hAnsiTheme="minorHAnsi"/>
          <w:color w:val="auto"/>
          <w:sz w:val="22"/>
          <w:szCs w:val="22"/>
        </w:rPr>
        <w:br/>
        <w:t xml:space="preserve">z uwzględnieniem kwoty pomocy de </w:t>
      </w:r>
      <w:proofErr w:type="spellStart"/>
      <w:r w:rsidRPr="00C73A61">
        <w:rPr>
          <w:rFonts w:asciiTheme="minorHAnsi" w:hAnsiTheme="minorHAnsi"/>
          <w:color w:val="auto"/>
          <w:sz w:val="22"/>
          <w:szCs w:val="22"/>
        </w:rPr>
        <w:t>minimis</w:t>
      </w:r>
      <w:proofErr w:type="spellEnd"/>
      <w:r w:rsidRPr="00C73A61">
        <w:rPr>
          <w:rFonts w:asciiTheme="minorHAnsi" w:hAnsiTheme="minorHAnsi"/>
          <w:color w:val="auto"/>
          <w:sz w:val="22"/>
          <w:szCs w:val="22"/>
        </w:rPr>
        <w:t xml:space="preserve"> otrzymanej z innego źródła;</w:t>
      </w:r>
    </w:p>
    <w:p w14:paraId="1516C30F" w14:textId="77777777" w:rsidR="00C73A61" w:rsidRPr="00C73A61" w:rsidRDefault="00C73A61" w:rsidP="00C73A61">
      <w:pPr>
        <w:pStyle w:val="Default"/>
        <w:numPr>
          <w:ilvl w:val="0"/>
          <w:numId w:val="27"/>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w przypadku projektu generującego dochód, dla którego dokonano wyliczenia luki finansowej – zgodnie z wyliczeniem, ale nie więcej niż 85%;</w:t>
      </w:r>
    </w:p>
    <w:p w14:paraId="2545E26E" w14:textId="77777777" w:rsidR="00C73A61" w:rsidRPr="00C73A61" w:rsidRDefault="00C73A61" w:rsidP="00C73A61">
      <w:pPr>
        <w:pStyle w:val="Default"/>
        <w:numPr>
          <w:ilvl w:val="0"/>
          <w:numId w:val="27"/>
        </w:numPr>
        <w:shd w:val="clear" w:color="auto" w:fill="FFFFFF" w:themeFill="background1"/>
        <w:spacing w:line="276" w:lineRule="auto"/>
        <w:ind w:left="317"/>
        <w:jc w:val="both"/>
        <w:rPr>
          <w:rFonts w:asciiTheme="minorHAnsi" w:hAnsiTheme="minorHAnsi"/>
          <w:color w:val="auto"/>
          <w:sz w:val="22"/>
          <w:szCs w:val="22"/>
        </w:rPr>
      </w:pPr>
      <w:r w:rsidRPr="00C73A61">
        <w:rPr>
          <w:rFonts w:asciiTheme="minorHAnsi" w:hAnsiTheme="minorHAnsi"/>
          <w:color w:val="auto"/>
          <w:sz w:val="22"/>
          <w:szCs w:val="22"/>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5398EB1D" w14:textId="77777777" w:rsidR="008A4588" w:rsidRDefault="008A4588" w:rsidP="00C73A61">
      <w:pPr>
        <w:shd w:val="clear" w:color="auto" w:fill="FFFFFF" w:themeFill="background1"/>
        <w:suppressAutoHyphens/>
        <w:spacing w:line="276" w:lineRule="auto"/>
        <w:jc w:val="both"/>
        <w:rPr>
          <w:rFonts w:asciiTheme="minorHAnsi" w:eastAsia="Droid Sans Fallback" w:hAnsiTheme="minorHAnsi" w:cs="Calibri"/>
          <w:sz w:val="22"/>
          <w:szCs w:val="22"/>
        </w:rPr>
      </w:pPr>
    </w:p>
    <w:p w14:paraId="571CC788" w14:textId="77777777" w:rsidR="00C73A61" w:rsidRPr="00C73A61" w:rsidRDefault="00C73A61" w:rsidP="00C73A61">
      <w:pPr>
        <w:shd w:val="clear" w:color="auto" w:fill="FFFFFF" w:themeFill="background1"/>
        <w:suppressAutoHyphens/>
        <w:spacing w:line="276" w:lineRule="auto"/>
        <w:jc w:val="both"/>
        <w:rPr>
          <w:rFonts w:asciiTheme="minorHAnsi" w:eastAsia="Droid Sans Fallback" w:hAnsiTheme="minorHAnsi" w:cs="Calibri"/>
          <w:sz w:val="22"/>
          <w:szCs w:val="22"/>
        </w:rPr>
      </w:pPr>
      <w:r w:rsidRPr="00C73A61">
        <w:rPr>
          <w:rFonts w:asciiTheme="minorHAnsi" w:eastAsia="Droid Sans Fallback" w:hAnsiTheme="minorHAnsi" w:cs="Calibri"/>
          <w:sz w:val="22"/>
          <w:szCs w:val="22"/>
        </w:rPr>
        <w:t xml:space="preserve">W przypadku projektów częściowo objętych pomocą publiczną powyższe zasady stosuje się do każdej z części, co oznacza, że poziom dofinansowania projektu określa się oddzielnie dla każdej części. </w:t>
      </w:r>
      <w:r w:rsidRPr="00C73A61">
        <w:rPr>
          <w:rFonts w:asciiTheme="minorHAnsi" w:eastAsia="Droid Sans Fallback" w:hAnsiTheme="minorHAnsi" w:cs="Calibri"/>
          <w:sz w:val="22"/>
          <w:szCs w:val="22"/>
        </w:rPr>
        <w:br/>
        <w:t>W takim przypadku łączny poziom maksymalnego dofinansowania w projekcie może być wyższy niż wynikający z reguł pomocy publicznej (ale nie więcej niż 85%).</w:t>
      </w:r>
    </w:p>
    <w:p w14:paraId="1BF4710D" w14:textId="77777777" w:rsidR="00AC71D6" w:rsidRDefault="00AC71D6" w:rsidP="00E023F8">
      <w:pPr>
        <w:ind w:left="13" w:hanging="13"/>
        <w:jc w:val="both"/>
        <w:rPr>
          <w:rFonts w:asciiTheme="minorHAnsi" w:hAnsiTheme="minorHAnsi"/>
          <w:bCs/>
          <w:sz w:val="22"/>
          <w:szCs w:val="22"/>
        </w:rPr>
      </w:pPr>
    </w:p>
    <w:p w14:paraId="0BA1AEEE" w14:textId="77777777" w:rsidR="0037034D" w:rsidRPr="00A003F1" w:rsidRDefault="0037034D" w:rsidP="00440B2D">
      <w:pPr>
        <w:autoSpaceDE w:val="0"/>
        <w:ind w:left="284"/>
        <w:contextualSpacing/>
        <w:rPr>
          <w:rFonts w:asciiTheme="minorHAnsi" w:hAnsiTheme="minorHAnsi"/>
          <w:sz w:val="22"/>
          <w:szCs w:val="22"/>
        </w:rPr>
      </w:pPr>
    </w:p>
    <w:p w14:paraId="54C0A492"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Okres realizacji projektu</w:t>
      </w:r>
    </w:p>
    <w:p w14:paraId="7D765325" w14:textId="77777777" w:rsidR="00F2790E" w:rsidRPr="00A003F1" w:rsidRDefault="00F2790E" w:rsidP="00440B2D">
      <w:pPr>
        <w:autoSpaceDE w:val="0"/>
        <w:ind w:left="284"/>
        <w:contextualSpacing/>
        <w:rPr>
          <w:rFonts w:asciiTheme="minorHAnsi" w:hAnsiTheme="minorHAnsi"/>
          <w:sz w:val="22"/>
          <w:szCs w:val="22"/>
        </w:rPr>
      </w:pPr>
    </w:p>
    <w:p w14:paraId="5614BDA2" w14:textId="77777777" w:rsidR="002F4909" w:rsidRPr="00B0439A" w:rsidRDefault="002F4909" w:rsidP="002F4909">
      <w:pPr>
        <w:spacing w:line="252" w:lineRule="auto"/>
        <w:rPr>
          <w:rFonts w:asciiTheme="minorHAnsi" w:hAnsiTheme="minorHAnsi"/>
          <w:sz w:val="22"/>
          <w:szCs w:val="22"/>
          <w:u w:val="single"/>
        </w:rPr>
      </w:pPr>
      <w:r w:rsidRPr="00B0439A">
        <w:rPr>
          <w:rFonts w:asciiTheme="minorHAnsi" w:eastAsia="Calibri" w:hAnsiTheme="minorHAnsi" w:cs="Arial"/>
          <w:b/>
          <w:sz w:val="22"/>
          <w:szCs w:val="22"/>
        </w:rPr>
        <w:t xml:space="preserve">IOK rekomenduje przyjąć termin zakończenia realizacji projektu </w:t>
      </w:r>
      <w:r w:rsidRPr="00B0439A">
        <w:rPr>
          <w:rFonts w:asciiTheme="minorHAnsi" w:hAnsiTheme="minorHAnsi"/>
          <w:b/>
          <w:sz w:val="22"/>
          <w:szCs w:val="22"/>
        </w:rPr>
        <w:t>do 31 grudnia 2021 r.</w:t>
      </w:r>
      <w:r w:rsidRPr="00B0439A">
        <w:rPr>
          <w:rFonts w:asciiTheme="minorHAnsi" w:hAnsiTheme="minorHAnsi"/>
          <w:sz w:val="22"/>
          <w:szCs w:val="22"/>
          <w:u w:val="single"/>
        </w:rPr>
        <w:t xml:space="preserve"> </w:t>
      </w:r>
    </w:p>
    <w:p w14:paraId="74BBE21D" w14:textId="77777777" w:rsidR="002F4909" w:rsidRPr="00B0439A" w:rsidRDefault="002F4909" w:rsidP="002F4909">
      <w:pPr>
        <w:autoSpaceDE w:val="0"/>
        <w:autoSpaceDN w:val="0"/>
        <w:adjustRightInd w:val="0"/>
        <w:spacing w:line="252" w:lineRule="auto"/>
        <w:rPr>
          <w:rFonts w:asciiTheme="minorHAnsi" w:eastAsia="Calibri" w:hAnsiTheme="minorHAnsi" w:cs="Arial"/>
          <w:b/>
          <w:sz w:val="22"/>
          <w:szCs w:val="22"/>
        </w:rPr>
      </w:pPr>
    </w:p>
    <w:p w14:paraId="66DE72CF" w14:textId="77777777" w:rsidR="002F4909" w:rsidRPr="00B0439A" w:rsidRDefault="002F4909" w:rsidP="002F4909">
      <w:pPr>
        <w:autoSpaceDE w:val="0"/>
        <w:autoSpaceDN w:val="0"/>
        <w:spacing w:after="160" w:line="252" w:lineRule="auto"/>
        <w:jc w:val="both"/>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późniejszy niż 30 czerwca 2023 roku (w uzasadnionych przypadkach, z przyczyn niezależnych od beneficjenta – IOK może wyrazić zgodę na wydłużenie tego terminu).”</w:t>
      </w:r>
    </w:p>
    <w:p w14:paraId="6BC943FC" w14:textId="2BD49710" w:rsidR="0004579F" w:rsidRPr="0099049C" w:rsidRDefault="002F4909" w:rsidP="0099049C">
      <w:pPr>
        <w:tabs>
          <w:tab w:val="left" w:pos="3290"/>
        </w:tabs>
        <w:spacing w:line="252" w:lineRule="auto"/>
        <w:jc w:val="both"/>
        <w:rPr>
          <w:rFonts w:asciiTheme="minorHAnsi" w:hAnsiTheme="minorHAnsi"/>
          <w:sz w:val="22"/>
          <w:szCs w:val="22"/>
        </w:rPr>
      </w:pPr>
      <w:r w:rsidRPr="00B0439A">
        <w:rPr>
          <w:rFonts w:asciiTheme="minorHAnsi" w:hAnsiTheme="minorHAnsi"/>
          <w:sz w:val="22"/>
          <w:szCs w:val="22"/>
          <w:u w:val="single"/>
        </w:rPr>
        <w:t>Uwaga:</w:t>
      </w:r>
      <w:r w:rsidRPr="00B0439A">
        <w:rPr>
          <w:rFonts w:asciiTheme="minorHAnsi" w:hAnsiTheme="minorHAnsi"/>
          <w:sz w:val="22"/>
          <w:szCs w:val="22"/>
        </w:rPr>
        <w:t xml:space="preserve"> do wskazanego terminu złożenia ostatniego wniosku o płatność projekt musi być zakończony.</w:t>
      </w:r>
    </w:p>
    <w:p w14:paraId="56F207F2" w14:textId="77777777" w:rsidR="006755EB" w:rsidRPr="006755EB" w:rsidRDefault="006755EB" w:rsidP="006755EB">
      <w:pPr>
        <w:tabs>
          <w:tab w:val="left" w:pos="3290"/>
        </w:tabs>
        <w:spacing w:line="276" w:lineRule="auto"/>
        <w:jc w:val="both"/>
        <w:rPr>
          <w:rFonts w:asciiTheme="minorHAnsi" w:hAnsiTheme="minorHAnsi"/>
          <w:sz w:val="22"/>
          <w:szCs w:val="22"/>
          <w:lang w:eastAsia="en-US"/>
        </w:rPr>
      </w:pPr>
    </w:p>
    <w:p w14:paraId="1E27A250"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Termin, miejsce i sposób składnia wniosków o dofinansowanie projektu oraz sposób uzupełniania w nich braków</w:t>
      </w:r>
      <w:r w:rsidR="008F4537" w:rsidRPr="00A003F1">
        <w:rPr>
          <w:rFonts w:asciiTheme="minorHAnsi" w:hAnsiTheme="minorHAnsi" w:cs="Calibri"/>
          <w:b/>
          <w:bCs/>
          <w:sz w:val="22"/>
          <w:szCs w:val="22"/>
        </w:rPr>
        <w:t xml:space="preserve"> formalnych/oczywistych omyłek </w:t>
      </w:r>
    </w:p>
    <w:p w14:paraId="718A90E8" w14:textId="77777777" w:rsidR="00F2790E" w:rsidRPr="00A003F1" w:rsidRDefault="00F2790E" w:rsidP="00440B2D">
      <w:pPr>
        <w:autoSpaceDE w:val="0"/>
        <w:ind w:left="284"/>
        <w:contextualSpacing/>
        <w:rPr>
          <w:rFonts w:asciiTheme="minorHAnsi" w:hAnsiTheme="minorHAnsi"/>
          <w:sz w:val="22"/>
          <w:szCs w:val="22"/>
        </w:rPr>
      </w:pPr>
    </w:p>
    <w:p w14:paraId="1AE789FD" w14:textId="77777777" w:rsidR="002F4909" w:rsidRPr="002F4909" w:rsidRDefault="002F4909" w:rsidP="002F4909">
      <w:pPr>
        <w:autoSpaceDE w:val="0"/>
        <w:autoSpaceDN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u w:val="single"/>
          <w:lang w:eastAsia="en-US"/>
        </w:rPr>
        <w:t>Wnioskodawca wypełnia wniosek o dofinansowanie</w:t>
      </w:r>
      <w:r w:rsidRPr="002F4909">
        <w:rPr>
          <w:rFonts w:asciiTheme="minorHAnsi" w:eastAsiaTheme="minorHAnsi" w:hAnsiTheme="minorHAnsi" w:cstheme="minorBidi"/>
          <w:sz w:val="22"/>
          <w:szCs w:val="22"/>
          <w:lang w:eastAsia="en-US"/>
        </w:rPr>
        <w:t xml:space="preserve"> za pośrednictwem aplikacji – generator wniosków o dofinansowanie EFRR </w:t>
      </w:r>
      <w:r w:rsidRPr="002F4909">
        <w:rPr>
          <w:rFonts w:asciiTheme="minorHAnsi" w:eastAsia="Calibri" w:hAnsiTheme="minorHAnsi" w:cstheme="minorBidi"/>
          <w:sz w:val="22"/>
          <w:szCs w:val="22"/>
          <w:lang w:eastAsia="en-US"/>
        </w:rPr>
        <w:t xml:space="preserve">– dostępnej na stronie </w:t>
      </w:r>
      <w:r w:rsidRPr="002F4909">
        <w:rPr>
          <w:rFonts w:asciiTheme="minorHAnsi" w:eastAsiaTheme="minorHAnsi" w:hAnsiTheme="minorHAnsi" w:cstheme="minorBidi"/>
          <w:sz w:val="22"/>
          <w:szCs w:val="22"/>
          <w:lang w:eastAsia="en-US"/>
        </w:rPr>
        <w:t xml:space="preserve">https://snow-dip.dolnyslask.pl/ </w:t>
      </w:r>
      <w:r w:rsidRPr="002F4909">
        <w:rPr>
          <w:rFonts w:asciiTheme="minorHAnsi" w:eastAsiaTheme="minorHAnsi" w:hAnsiTheme="minorHAnsi" w:cstheme="minorBidi"/>
          <w:sz w:val="22"/>
          <w:szCs w:val="22"/>
          <w:u w:val="single"/>
          <w:lang w:eastAsia="en-US"/>
        </w:rPr>
        <w:t>i przesyła do</w:t>
      </w:r>
      <w:r w:rsidRPr="002F4909">
        <w:rPr>
          <w:rFonts w:asciiTheme="minorHAnsi" w:eastAsiaTheme="minorHAnsi" w:hAnsiTheme="minorHAnsi" w:cstheme="minorBidi"/>
          <w:sz w:val="22"/>
          <w:szCs w:val="22"/>
          <w:lang w:eastAsia="en-US"/>
        </w:rPr>
        <w:t xml:space="preserve"> DIP (Instytucji Organizującej Konkurs) w ramach niniejszego konkursu w terminie</w:t>
      </w:r>
      <w:r w:rsidRPr="002F4909">
        <w:rPr>
          <w:rFonts w:asciiTheme="minorHAnsi" w:eastAsiaTheme="minorHAnsi" w:hAnsiTheme="minorHAnsi" w:cs="Arial"/>
          <w:bCs/>
          <w:sz w:val="22"/>
          <w:szCs w:val="22"/>
          <w:lang w:eastAsia="en-US"/>
        </w:rPr>
        <w:t xml:space="preserve"> :</w:t>
      </w:r>
    </w:p>
    <w:p w14:paraId="3FA576C4" w14:textId="5689D29A" w:rsidR="002F4909" w:rsidRPr="008A4588" w:rsidRDefault="002F4909" w:rsidP="002F4909">
      <w:pPr>
        <w:autoSpaceDE w:val="0"/>
        <w:autoSpaceDN w:val="0"/>
        <w:adjustRightInd w:val="0"/>
        <w:spacing w:line="276" w:lineRule="auto"/>
        <w:jc w:val="center"/>
        <w:rPr>
          <w:rFonts w:asciiTheme="minorHAnsi" w:eastAsiaTheme="minorHAnsi" w:hAnsiTheme="minorHAnsi" w:cs="Arial"/>
          <w:b/>
          <w:bCs/>
          <w:sz w:val="22"/>
          <w:szCs w:val="22"/>
          <w:lang w:eastAsia="en-US"/>
        </w:rPr>
      </w:pPr>
      <w:r w:rsidRPr="002F4909">
        <w:rPr>
          <w:rFonts w:asciiTheme="minorHAnsi" w:eastAsiaTheme="minorHAnsi" w:hAnsiTheme="minorHAnsi" w:cs="Arial"/>
          <w:b/>
          <w:bCs/>
          <w:sz w:val="22"/>
          <w:szCs w:val="22"/>
          <w:lang w:eastAsia="en-US"/>
        </w:rPr>
        <w:t xml:space="preserve">od godz. 8.00 dnia 31.01.2019 r.  do godz. 15.00 </w:t>
      </w:r>
      <w:r w:rsidRPr="008A4588">
        <w:rPr>
          <w:rFonts w:asciiTheme="minorHAnsi" w:eastAsiaTheme="minorHAnsi" w:hAnsiTheme="minorHAnsi" w:cs="Arial"/>
          <w:b/>
          <w:bCs/>
          <w:sz w:val="22"/>
          <w:szCs w:val="22"/>
          <w:lang w:eastAsia="en-US"/>
        </w:rPr>
        <w:t xml:space="preserve">dnia </w:t>
      </w:r>
      <w:r w:rsidR="00532CB6">
        <w:rPr>
          <w:rFonts w:asciiTheme="minorHAnsi" w:eastAsiaTheme="minorHAnsi" w:hAnsiTheme="minorHAnsi" w:cs="Arial"/>
          <w:b/>
          <w:bCs/>
          <w:sz w:val="22"/>
          <w:szCs w:val="22"/>
          <w:lang w:eastAsia="en-US"/>
        </w:rPr>
        <w:t>12.04</w:t>
      </w:r>
      <w:r w:rsidRPr="008A4588">
        <w:rPr>
          <w:rFonts w:asciiTheme="minorHAnsi" w:eastAsiaTheme="minorHAnsi" w:hAnsiTheme="minorHAnsi" w:cs="Arial"/>
          <w:b/>
          <w:bCs/>
          <w:sz w:val="22"/>
          <w:szCs w:val="22"/>
          <w:lang w:eastAsia="en-US"/>
        </w:rPr>
        <w:t>.2019 r.</w:t>
      </w:r>
    </w:p>
    <w:p w14:paraId="49CA1E76" w14:textId="77777777" w:rsidR="002F4909" w:rsidRPr="008A4588" w:rsidRDefault="002F4909" w:rsidP="002F4909">
      <w:pPr>
        <w:spacing w:line="276" w:lineRule="auto"/>
        <w:jc w:val="both"/>
        <w:rPr>
          <w:rFonts w:asciiTheme="minorHAnsi" w:eastAsiaTheme="minorHAnsi" w:hAnsiTheme="minorHAnsi" w:cstheme="minorBidi"/>
          <w:sz w:val="22"/>
          <w:szCs w:val="22"/>
          <w:lang w:eastAsia="en-US"/>
        </w:rPr>
      </w:pPr>
    </w:p>
    <w:p w14:paraId="69FF65DD" w14:textId="27592D4D" w:rsidR="002F4909" w:rsidRPr="008A4588" w:rsidRDefault="002F4909" w:rsidP="002F4909">
      <w:pPr>
        <w:spacing w:line="276" w:lineRule="auto"/>
        <w:jc w:val="both"/>
        <w:rPr>
          <w:rFonts w:asciiTheme="minorHAnsi" w:eastAsiaTheme="minorHAnsi" w:hAnsiTheme="minorHAnsi" w:cstheme="minorBidi"/>
          <w:sz w:val="22"/>
          <w:szCs w:val="22"/>
          <w:lang w:eastAsia="en-US"/>
        </w:rPr>
      </w:pPr>
      <w:r w:rsidRPr="008A4588">
        <w:rPr>
          <w:rFonts w:asciiTheme="minorHAnsi" w:eastAsiaTheme="minorHAnsi" w:hAnsiTheme="minorHAnsi" w:cstheme="minorBidi"/>
          <w:sz w:val="22"/>
          <w:szCs w:val="22"/>
          <w:lang w:eastAsia="en-US"/>
        </w:rPr>
        <w:t xml:space="preserve">Logowanie do Generatora Wniosków w celu wypełnienia i złożenia wniosku o dofinansowanie będzie możliwe w czasie trwania naboru wniosków. Aplikacja służy do przygotowania wniosku o dofinansowanie projektu realizowanego </w:t>
      </w:r>
      <w:r w:rsidR="00334F91" w:rsidRPr="008A4588">
        <w:rPr>
          <w:rFonts w:asciiTheme="minorHAnsi" w:eastAsiaTheme="minorHAnsi" w:hAnsiTheme="minorHAnsi" w:cstheme="minorBidi"/>
          <w:sz w:val="22"/>
          <w:szCs w:val="22"/>
          <w:lang w:eastAsia="en-US"/>
        </w:rPr>
        <w:t xml:space="preserve">w </w:t>
      </w:r>
      <w:r w:rsidRPr="008A4588">
        <w:rPr>
          <w:rFonts w:asciiTheme="minorHAnsi" w:eastAsiaTheme="minorHAnsi" w:hAnsiTheme="minorHAnsi" w:cstheme="minorBidi"/>
          <w:sz w:val="22"/>
          <w:szCs w:val="22"/>
          <w:lang w:eastAsia="en-US"/>
        </w:rPr>
        <w:t xml:space="preserve">ramach Regionalnego Programu Operacyjnego Województwa Dolnośląskiego 2014-2020. System umożliwia tworzenie, edycję oraz wydruk wniosków o dofinansowanie, a także zapewnia możliwość ich złożenia do właściwej instytucji. </w:t>
      </w:r>
    </w:p>
    <w:p w14:paraId="05F3B6B1" w14:textId="00613B89" w:rsidR="002F4909" w:rsidRPr="002F4909" w:rsidRDefault="002F4909" w:rsidP="002F4909">
      <w:pPr>
        <w:spacing w:line="276" w:lineRule="auto"/>
        <w:jc w:val="both"/>
        <w:rPr>
          <w:rFonts w:asciiTheme="minorHAnsi" w:eastAsiaTheme="minorHAnsi" w:hAnsiTheme="minorHAnsi" w:cstheme="minorBidi"/>
          <w:sz w:val="22"/>
          <w:szCs w:val="22"/>
          <w:lang w:eastAsia="en-US"/>
        </w:rPr>
      </w:pPr>
      <w:r w:rsidRPr="008A4588">
        <w:rPr>
          <w:rFonts w:asciiTheme="minorHAnsi" w:eastAsiaTheme="minorHAnsi" w:hAnsiTheme="minorHAnsi" w:cstheme="minorBidi"/>
          <w:sz w:val="22"/>
          <w:szCs w:val="22"/>
          <w:lang w:eastAsia="en-US"/>
        </w:rPr>
        <w:t>Ponadto do siedziby DIP (IOK) należy dostarczyć jeden egzemplarz wydrukowanej z aplikacji generator wniosków - papierowej wersji wniosku, opatrzonej czytelnym podpisem/ami lub parafą i z pieczęcią imienną osoby/</w:t>
      </w:r>
      <w:proofErr w:type="spellStart"/>
      <w:r w:rsidRPr="008A4588">
        <w:rPr>
          <w:rFonts w:asciiTheme="minorHAnsi" w:eastAsiaTheme="minorHAnsi" w:hAnsiTheme="minorHAnsi" w:cstheme="minorBidi"/>
          <w:sz w:val="22"/>
          <w:szCs w:val="22"/>
          <w:lang w:eastAsia="en-US"/>
        </w:rPr>
        <w:t>ób</w:t>
      </w:r>
      <w:proofErr w:type="spellEnd"/>
      <w:r w:rsidRPr="008A4588">
        <w:rPr>
          <w:rFonts w:asciiTheme="minorHAnsi" w:eastAsiaTheme="minorHAnsi" w:hAnsiTheme="minorHAnsi" w:cstheme="minorBidi"/>
          <w:sz w:val="22"/>
          <w:szCs w:val="22"/>
          <w:lang w:eastAsia="en-US"/>
        </w:rPr>
        <w:t xml:space="preserve"> uprawnionej/</w:t>
      </w:r>
      <w:proofErr w:type="spellStart"/>
      <w:r w:rsidRPr="008A4588">
        <w:rPr>
          <w:rFonts w:asciiTheme="minorHAnsi" w:eastAsiaTheme="minorHAnsi" w:hAnsiTheme="minorHAnsi" w:cstheme="minorBidi"/>
          <w:sz w:val="22"/>
          <w:szCs w:val="22"/>
          <w:lang w:eastAsia="en-US"/>
        </w:rPr>
        <w:t>ych</w:t>
      </w:r>
      <w:proofErr w:type="spellEnd"/>
      <w:r w:rsidRPr="008A4588">
        <w:rPr>
          <w:rFonts w:asciiTheme="minorHAnsi" w:eastAsiaTheme="minorHAnsi" w:hAnsiTheme="minorHAnsi" w:cstheme="minorBidi"/>
          <w:sz w:val="22"/>
          <w:szCs w:val="22"/>
          <w:lang w:eastAsia="en-US"/>
        </w:rPr>
        <w:t xml:space="preserve"> do reprezentowania w terminie </w:t>
      </w:r>
      <w:r w:rsidRPr="008A4588">
        <w:rPr>
          <w:rFonts w:asciiTheme="minorHAnsi" w:eastAsiaTheme="minorHAnsi" w:hAnsiTheme="minorHAnsi" w:cstheme="minorBidi"/>
          <w:b/>
          <w:bCs/>
          <w:sz w:val="22"/>
          <w:szCs w:val="22"/>
          <w:u w:val="single"/>
          <w:lang w:eastAsia="en-US"/>
        </w:rPr>
        <w:t xml:space="preserve">do godz. 15.00 dnia </w:t>
      </w:r>
      <w:r w:rsidRPr="008A4588">
        <w:rPr>
          <w:rFonts w:asciiTheme="minorHAnsi" w:eastAsiaTheme="minorHAnsi" w:hAnsiTheme="minorHAnsi" w:cstheme="minorBidi"/>
          <w:b/>
          <w:bCs/>
          <w:sz w:val="22"/>
          <w:szCs w:val="22"/>
          <w:u w:val="single"/>
          <w:lang w:eastAsia="en-US"/>
        </w:rPr>
        <w:br/>
      </w:r>
      <w:r w:rsidR="00532CB6">
        <w:rPr>
          <w:rFonts w:asciiTheme="minorHAnsi" w:eastAsiaTheme="minorHAnsi" w:hAnsiTheme="minorHAnsi" w:cstheme="minorBidi"/>
          <w:b/>
          <w:bCs/>
          <w:sz w:val="22"/>
          <w:szCs w:val="22"/>
          <w:u w:val="single"/>
          <w:lang w:eastAsia="en-US"/>
        </w:rPr>
        <w:t>12.04</w:t>
      </w:r>
      <w:r w:rsidRPr="008A4588">
        <w:rPr>
          <w:rFonts w:asciiTheme="minorHAnsi" w:eastAsiaTheme="minorHAnsi" w:hAnsiTheme="minorHAnsi" w:cstheme="minorBidi"/>
          <w:b/>
          <w:bCs/>
          <w:sz w:val="22"/>
          <w:szCs w:val="22"/>
          <w:u w:val="single"/>
          <w:lang w:eastAsia="en-US"/>
        </w:rPr>
        <w:t>.2019 r</w:t>
      </w:r>
      <w:r w:rsidRPr="008A4588">
        <w:rPr>
          <w:rFonts w:asciiTheme="minorHAnsi" w:eastAsiaTheme="minorHAnsi" w:hAnsiTheme="minorHAnsi" w:cstheme="minorBidi"/>
          <w:sz w:val="22"/>
          <w:szCs w:val="22"/>
          <w:lang w:eastAsia="en-US"/>
        </w:rPr>
        <w:t>.</w:t>
      </w:r>
      <w:r w:rsidRPr="002F4909">
        <w:rPr>
          <w:rFonts w:asciiTheme="minorHAnsi" w:eastAsiaTheme="minorHAnsi" w:hAnsiTheme="minorHAnsi" w:cstheme="minorBidi"/>
          <w:sz w:val="22"/>
          <w:szCs w:val="22"/>
          <w:lang w:eastAsia="en-US"/>
        </w:rPr>
        <w:t xml:space="preserve"> </w:t>
      </w:r>
    </w:p>
    <w:p w14:paraId="71B44AE3" w14:textId="77777777" w:rsidR="002F4909" w:rsidRPr="002F4909" w:rsidRDefault="002F4909" w:rsidP="002F4909">
      <w:pPr>
        <w:spacing w:line="276" w:lineRule="auto"/>
        <w:jc w:val="both"/>
        <w:rPr>
          <w:rFonts w:asciiTheme="minorHAnsi" w:eastAsiaTheme="minorHAnsi" w:hAnsiTheme="minorHAnsi" w:cstheme="minorBidi"/>
          <w:sz w:val="22"/>
          <w:szCs w:val="22"/>
          <w:lang w:eastAsia="en-US"/>
        </w:rPr>
      </w:pPr>
    </w:p>
    <w:p w14:paraId="2CA9D536" w14:textId="77777777" w:rsidR="002F4909" w:rsidRPr="002F4909" w:rsidRDefault="002F4909" w:rsidP="002F4909">
      <w:pPr>
        <w:spacing w:line="276" w:lineRule="auto"/>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lang w:eastAsia="en-US"/>
        </w:rPr>
        <w:t>DIP nie przewiduje możliwości skrócenia terminu składania wniosków.</w:t>
      </w:r>
    </w:p>
    <w:p w14:paraId="0A653E14" w14:textId="77777777" w:rsidR="002F4909" w:rsidRPr="002F4909" w:rsidRDefault="002F4909" w:rsidP="002F4909">
      <w:pPr>
        <w:spacing w:line="276" w:lineRule="auto"/>
        <w:rPr>
          <w:rFonts w:asciiTheme="minorHAnsi" w:eastAsiaTheme="minorHAnsi" w:hAnsiTheme="minorHAnsi" w:cstheme="minorBidi"/>
          <w:sz w:val="22"/>
          <w:szCs w:val="22"/>
          <w:lang w:eastAsia="en-US"/>
        </w:rPr>
      </w:pPr>
    </w:p>
    <w:p w14:paraId="690B475A" w14:textId="232BBAF1" w:rsidR="002F4909" w:rsidRPr="002F4909" w:rsidRDefault="002F4909" w:rsidP="002F4909">
      <w:pPr>
        <w:spacing w:line="276" w:lineRule="auto"/>
        <w:jc w:val="both"/>
        <w:rPr>
          <w:rFonts w:asciiTheme="minorHAnsi" w:hAnsiTheme="minorHAnsi"/>
          <w:sz w:val="22"/>
          <w:szCs w:val="22"/>
        </w:rPr>
      </w:pPr>
      <w:r w:rsidRPr="002F4909">
        <w:rPr>
          <w:rFonts w:asciiTheme="minorHAnsi" w:hAnsiTheme="minorHAnsi"/>
          <w:sz w:val="22"/>
          <w:szCs w:val="22"/>
        </w:rPr>
        <w:t xml:space="preserve">Wszystkie załączniki wymienione w sekcji „Załączniki” Wnioskodawca składa </w:t>
      </w:r>
      <w:r w:rsidRPr="002F4909">
        <w:rPr>
          <w:rFonts w:asciiTheme="minorHAnsi" w:hAnsiTheme="minorHAnsi"/>
          <w:sz w:val="22"/>
          <w:szCs w:val="22"/>
          <w:u w:val="single"/>
        </w:rPr>
        <w:t>jedynie w formie elektronicznej</w:t>
      </w:r>
      <w:r w:rsidRPr="002F4909">
        <w:rPr>
          <w:rFonts w:asciiTheme="minorHAnsi" w:hAnsiTheme="minorHAnsi"/>
          <w:sz w:val="22"/>
          <w:szCs w:val="22"/>
        </w:rPr>
        <w:t xml:space="preserve"> za pomocą aplikacji – generator wniosków o dofinansowanie EFRR – dostępnej na stronie </w:t>
      </w:r>
      <w:hyperlink r:id="rId8" w:history="1">
        <w:r w:rsidRPr="002F4909">
          <w:rPr>
            <w:rFonts w:asciiTheme="minorHAnsi" w:hAnsiTheme="minorHAnsi"/>
            <w:sz w:val="22"/>
            <w:szCs w:val="22"/>
            <w:u w:val="single"/>
          </w:rPr>
          <w:t>http://snow-dip.dolnyslask.pl</w:t>
        </w:r>
      </w:hyperlink>
      <w:r w:rsidRPr="002F4909">
        <w:rPr>
          <w:rFonts w:asciiTheme="minorHAnsi" w:hAnsiTheme="minorHAnsi"/>
          <w:sz w:val="22"/>
          <w:szCs w:val="22"/>
        </w:rPr>
        <w:t xml:space="preserve"> </w:t>
      </w:r>
      <w:r w:rsidR="00334F91">
        <w:rPr>
          <w:rFonts w:asciiTheme="minorHAnsi" w:hAnsiTheme="minorHAnsi"/>
          <w:sz w:val="22"/>
          <w:szCs w:val="22"/>
        </w:rPr>
        <w:t xml:space="preserve">w </w:t>
      </w:r>
      <w:r w:rsidRPr="002F4909">
        <w:rPr>
          <w:rFonts w:asciiTheme="minorHAnsi" w:hAnsiTheme="minorHAnsi"/>
          <w:sz w:val="22"/>
          <w:szCs w:val="22"/>
        </w:rPr>
        <w:t>ww. terminie. Wszystkie załączniki muszą być podpisane/potwierdzone za zgodność z oryginałem.</w:t>
      </w:r>
    </w:p>
    <w:p w14:paraId="70BD2979" w14:textId="77777777" w:rsidR="002F4909" w:rsidRPr="002F4909" w:rsidRDefault="002F4909" w:rsidP="002F4909">
      <w:pPr>
        <w:spacing w:line="276" w:lineRule="auto"/>
        <w:jc w:val="both"/>
        <w:rPr>
          <w:rFonts w:asciiTheme="minorHAnsi" w:hAnsiTheme="minorHAnsi"/>
          <w:sz w:val="22"/>
          <w:szCs w:val="22"/>
        </w:rPr>
      </w:pPr>
    </w:p>
    <w:p w14:paraId="23ED08BC" w14:textId="77777777" w:rsidR="002F4909" w:rsidRPr="002F4909" w:rsidRDefault="002F4909" w:rsidP="002F4909">
      <w:pPr>
        <w:spacing w:line="276" w:lineRule="auto"/>
        <w:jc w:val="both"/>
        <w:rPr>
          <w:rFonts w:asciiTheme="minorHAnsi" w:hAnsiTheme="minorHAnsi"/>
          <w:sz w:val="22"/>
          <w:szCs w:val="22"/>
        </w:rPr>
      </w:pPr>
      <w:r w:rsidRPr="002F4909">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2F4909">
        <w:rPr>
          <w:rFonts w:asciiTheme="minorHAnsi" w:hAnsiTheme="minorHAnsi"/>
          <w:i/>
          <w:sz w:val="22"/>
          <w:szCs w:val="22"/>
        </w:rPr>
        <w:t>Dokumenty inwentaryzacyjne stanu istniejącego obiektu wraz z fotografiami</w:t>
      </w:r>
      <w:r w:rsidRPr="002F4909">
        <w:rPr>
          <w:rFonts w:asciiTheme="minorHAnsi" w:hAnsiTheme="minorHAnsi"/>
          <w:sz w:val="22"/>
          <w:szCs w:val="22"/>
        </w:rPr>
        <w:t>.</w:t>
      </w:r>
    </w:p>
    <w:p w14:paraId="5774DED9" w14:textId="77777777" w:rsidR="002F4909" w:rsidRPr="002F4909" w:rsidRDefault="002F4909" w:rsidP="002F4909">
      <w:pPr>
        <w:spacing w:line="276" w:lineRule="auto"/>
        <w:jc w:val="both"/>
        <w:rPr>
          <w:rFonts w:asciiTheme="minorHAnsi" w:hAnsiTheme="minorHAnsi"/>
          <w:sz w:val="22"/>
          <w:szCs w:val="22"/>
        </w:rPr>
      </w:pPr>
    </w:p>
    <w:p w14:paraId="399620C5"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u w:val="single"/>
          <w:lang w:eastAsia="en-US"/>
        </w:rPr>
        <w:t>W przypadku wyboru projektu Wnioskodawcy do dofinansowania, Wnioskodawca zobligowany będzie do przesłania ww. załączników, (które zostały wysłane w wersji elektronicznej) w wersji papierowej</w:t>
      </w:r>
      <w:r w:rsidRPr="002F4909">
        <w:rPr>
          <w:rFonts w:asciiTheme="minorHAnsi" w:eastAsiaTheme="minorHAnsi" w:hAnsiTheme="minorHAnsi" w:cstheme="minorBidi"/>
          <w:sz w:val="22"/>
          <w:szCs w:val="22"/>
          <w:lang w:eastAsia="en-US"/>
        </w:rPr>
        <w:t xml:space="preserve"> przed podpisaniem umowy o dofinansowanie.</w:t>
      </w:r>
    </w:p>
    <w:p w14:paraId="4F73FBA9"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sz w:val="22"/>
          <w:szCs w:val="22"/>
          <w:lang w:eastAsia="en-US"/>
        </w:rPr>
      </w:pPr>
    </w:p>
    <w:p w14:paraId="2F8A50EC"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b/>
          <w:sz w:val="22"/>
          <w:szCs w:val="22"/>
          <w:lang w:eastAsia="en-US"/>
        </w:rPr>
        <w:t>Za datę wpływu do DIP/IOK uznaje się datę wpływu wniosku w wersji papierowej</w:t>
      </w:r>
      <w:r w:rsidRPr="002F4909">
        <w:rPr>
          <w:rFonts w:asciiTheme="minorHAnsi" w:eastAsiaTheme="minorHAnsi" w:hAnsiTheme="minorHAnsi" w:cstheme="minorBidi"/>
          <w:sz w:val="22"/>
          <w:szCs w:val="22"/>
          <w:lang w:eastAsia="en-US"/>
        </w:rPr>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684F2EFF"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sz w:val="22"/>
          <w:szCs w:val="22"/>
          <w:lang w:eastAsia="en-US"/>
        </w:rPr>
      </w:pPr>
    </w:p>
    <w:p w14:paraId="40CACE7E"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lang w:eastAsia="en-US"/>
        </w:rPr>
        <w:t>Papierową wersję wniosku należy dostarczyć do sekretariatu Dolnośląskiej Instytucji Pośredniczącej mieszczącej się pod adresem:</w:t>
      </w:r>
    </w:p>
    <w:p w14:paraId="3F609A28"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Dolnośląska Instytucja Pośrednicząca</w:t>
      </w:r>
    </w:p>
    <w:p w14:paraId="7806B6F6"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ul. Strzegomska 2-4</w:t>
      </w:r>
    </w:p>
    <w:p w14:paraId="34A5F1AE"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53-611 Wrocław</w:t>
      </w:r>
    </w:p>
    <w:p w14:paraId="5D3572DB"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lang w:eastAsia="en-US"/>
        </w:rPr>
        <w:t xml:space="preserve">Suma kontrolna wersji elektronicznej wniosku (w systemie) musi być identyczna z sumą kontrolną papierowej wersji wniosku. </w:t>
      </w:r>
    </w:p>
    <w:p w14:paraId="668422CF"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b/>
          <w:sz w:val="22"/>
          <w:szCs w:val="22"/>
          <w:lang w:eastAsia="en-US"/>
        </w:rPr>
      </w:pPr>
    </w:p>
    <w:p w14:paraId="76384493" w14:textId="77777777" w:rsidR="002F4909" w:rsidRPr="002F4909" w:rsidRDefault="002F4909" w:rsidP="002F4909">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 xml:space="preserve">Wniosek </w:t>
      </w:r>
      <w:r w:rsidRPr="002F4909">
        <w:rPr>
          <w:rFonts w:asciiTheme="minorHAnsi" w:eastAsiaTheme="minorHAnsi" w:hAnsiTheme="minorHAnsi" w:cstheme="minorBidi"/>
          <w:sz w:val="22"/>
          <w:szCs w:val="22"/>
          <w:lang w:eastAsia="en-US"/>
        </w:rPr>
        <w:t>należy złożyć w zamkniętej</w:t>
      </w:r>
      <w:r w:rsidRPr="002F4909">
        <w:rPr>
          <w:rFonts w:asciiTheme="minorHAnsi" w:eastAsiaTheme="minorHAnsi" w:hAnsiTheme="minorHAnsi" w:cstheme="minorBidi"/>
          <w:b/>
          <w:sz w:val="22"/>
          <w:szCs w:val="22"/>
          <w:lang w:eastAsia="en-US"/>
        </w:rPr>
        <w:t xml:space="preserve"> </w:t>
      </w:r>
      <w:r w:rsidRPr="002F4909">
        <w:rPr>
          <w:rFonts w:asciiTheme="minorHAnsi" w:eastAsiaTheme="minorHAnsi" w:hAnsiTheme="minorHAnsi" w:cstheme="minorBidi"/>
          <w:sz w:val="22"/>
          <w:szCs w:val="22"/>
          <w:lang w:eastAsia="en-US"/>
        </w:rPr>
        <w:t>kopercie, której opis zawiera następujące informacje:</w:t>
      </w:r>
    </w:p>
    <w:p w14:paraId="67ABB263" w14:textId="77777777" w:rsidR="002F4909" w:rsidRPr="002F4909" w:rsidRDefault="002F4909" w:rsidP="002F4909">
      <w:pPr>
        <w:autoSpaceDE w:val="0"/>
        <w:autoSpaceDN w:val="0"/>
        <w:spacing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2F4909" w:rsidRPr="002F4909" w14:paraId="7B45292C" w14:textId="77777777" w:rsidTr="002D7D6B">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14:paraId="40E76AE3" w14:textId="77777777" w:rsidR="002F4909" w:rsidRPr="002F4909" w:rsidRDefault="002F4909" w:rsidP="002F4909">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NUMER NABORU</w:t>
            </w:r>
          </w:p>
          <w:p w14:paraId="08FC6806" w14:textId="77777777" w:rsidR="002F4909" w:rsidRPr="002F4909" w:rsidRDefault="002F4909" w:rsidP="002F4909">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Numer wniosku o dofinansowanie</w:t>
            </w:r>
          </w:p>
          <w:p w14:paraId="562F74B0" w14:textId="77777777" w:rsidR="002F4909" w:rsidRPr="002F4909" w:rsidRDefault="002F4909" w:rsidP="002F4909">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Nazwa wnioskodawcy</w:t>
            </w:r>
          </w:p>
          <w:p w14:paraId="759C5ADA" w14:textId="77777777" w:rsidR="002F4909" w:rsidRPr="002F4909" w:rsidRDefault="002F4909" w:rsidP="002F4909">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Adres wnioskodawcy</w:t>
            </w:r>
          </w:p>
          <w:p w14:paraId="0A565203" w14:textId="77777777" w:rsidR="002F4909" w:rsidRPr="002F4909" w:rsidRDefault="002F4909" w:rsidP="002F4909">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NIP</w:t>
            </w:r>
          </w:p>
          <w:p w14:paraId="2C94F776" w14:textId="77777777" w:rsidR="002F4909" w:rsidRPr="002F4909" w:rsidRDefault="002F4909" w:rsidP="002F4909">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Tytuł projektu</w:t>
            </w:r>
          </w:p>
          <w:p w14:paraId="69E63073" w14:textId="77777777" w:rsidR="002F4909" w:rsidRPr="002F4909" w:rsidRDefault="002F4909" w:rsidP="002F4909">
            <w:pPr>
              <w:spacing w:line="276" w:lineRule="auto"/>
              <w:rPr>
                <w:rFonts w:asciiTheme="minorHAnsi" w:eastAsiaTheme="minorHAnsi" w:hAnsiTheme="minorHAnsi" w:cstheme="minorBidi"/>
                <w:strike/>
                <w:sz w:val="22"/>
                <w:szCs w:val="22"/>
                <w:lang w:eastAsia="en-US"/>
              </w:rPr>
            </w:pPr>
          </w:p>
          <w:p w14:paraId="3EDD89AA" w14:textId="77777777" w:rsidR="002F4909" w:rsidRPr="002F4909" w:rsidRDefault="002F4909" w:rsidP="002F4909">
            <w:pPr>
              <w:jc w:val="center"/>
              <w:rPr>
                <w:rFonts w:ascii="Calibri" w:eastAsiaTheme="minorHAnsi" w:hAnsi="Calibri" w:cstheme="minorBidi"/>
                <w:b/>
                <w:strike/>
                <w:lang w:eastAsia="en-US"/>
              </w:rPr>
            </w:pPr>
            <w:r w:rsidRPr="002F4909">
              <w:rPr>
                <w:rFonts w:ascii="Calibri" w:eastAsiaTheme="minorHAnsi" w:hAnsi="Calibri" w:cstheme="minorBidi"/>
                <w:b/>
                <w:lang w:eastAsia="en-US"/>
              </w:rPr>
              <w:t>WNIOSEK O DOFINANSOWANIE REALIZACJI PROJEKTU</w:t>
            </w:r>
          </w:p>
          <w:p w14:paraId="53F70916" w14:textId="77777777" w:rsidR="002F4909" w:rsidRPr="002F4909" w:rsidRDefault="002F4909" w:rsidP="002F4909">
            <w:pPr>
              <w:autoSpaceDE w:val="0"/>
              <w:jc w:val="center"/>
              <w:rPr>
                <w:rFonts w:ascii="Calibri" w:eastAsiaTheme="minorHAnsi" w:hAnsi="Calibri" w:cstheme="minorBidi"/>
                <w:b/>
                <w:bCs/>
                <w:lang w:eastAsia="en-US"/>
              </w:rPr>
            </w:pPr>
            <w:r w:rsidRPr="002F4909">
              <w:rPr>
                <w:rFonts w:ascii="Calibri" w:eastAsiaTheme="minorHAnsi" w:hAnsi="Calibri" w:cstheme="minorBidi"/>
                <w:b/>
                <w:bCs/>
                <w:lang w:eastAsia="en-US"/>
              </w:rPr>
              <w:t>Oś priorytetowa 3 Gospodarka niskoemisyjna</w:t>
            </w:r>
          </w:p>
          <w:p w14:paraId="47247206" w14:textId="77777777" w:rsidR="002F4909" w:rsidRPr="002F4909" w:rsidRDefault="002F4909" w:rsidP="002F4909">
            <w:pPr>
              <w:autoSpaceDE w:val="0"/>
              <w:jc w:val="center"/>
              <w:rPr>
                <w:rFonts w:ascii="Calibri" w:eastAsiaTheme="minorHAnsi" w:hAnsi="Calibri" w:cstheme="minorBidi"/>
                <w:b/>
                <w:bCs/>
                <w:lang w:eastAsia="en-US"/>
              </w:rPr>
            </w:pPr>
            <w:r w:rsidRPr="002F4909">
              <w:rPr>
                <w:rFonts w:ascii="Calibri" w:eastAsiaTheme="minorHAnsi" w:hAnsi="Calibri" w:cstheme="minorBidi"/>
                <w:b/>
                <w:bCs/>
                <w:lang w:eastAsia="en-US"/>
              </w:rPr>
              <w:t xml:space="preserve">Działanie 3.3 Efektywność energetyczna w budynkach użyteczności publicznej </w:t>
            </w:r>
            <w:r w:rsidRPr="002F4909">
              <w:rPr>
                <w:rFonts w:ascii="Calibri" w:eastAsiaTheme="minorHAnsi" w:hAnsi="Calibri" w:cstheme="minorBidi"/>
                <w:b/>
                <w:bCs/>
                <w:lang w:eastAsia="en-US"/>
              </w:rPr>
              <w:br/>
              <w:t>i sektorze mieszkaniowym</w:t>
            </w:r>
          </w:p>
          <w:p w14:paraId="5C3732A2" w14:textId="77777777" w:rsidR="002F4909" w:rsidRPr="002F4909" w:rsidRDefault="002F4909" w:rsidP="002F4909">
            <w:pPr>
              <w:widowControl w:val="0"/>
              <w:spacing w:line="360" w:lineRule="auto"/>
              <w:jc w:val="center"/>
              <w:rPr>
                <w:rFonts w:ascii="Calibri" w:eastAsiaTheme="minorHAnsi" w:hAnsi="Calibri" w:cstheme="minorBidi"/>
                <w:b/>
                <w:bCs/>
                <w:lang w:eastAsia="en-US"/>
              </w:rPr>
            </w:pPr>
            <w:r w:rsidRPr="002F4909">
              <w:rPr>
                <w:rFonts w:ascii="Calibri" w:eastAsiaTheme="minorHAnsi" w:hAnsi="Calibri" w:cstheme="minorBidi"/>
                <w:b/>
                <w:bCs/>
                <w:lang w:eastAsia="en-US"/>
              </w:rPr>
              <w:t xml:space="preserve">Poddziałanie 3.3.1 Efektywność energetyczna w budynkach użyteczności publicznej i sektorze mieszkaniowym – konkurs horyzontalny - OSI </w:t>
            </w:r>
          </w:p>
          <w:p w14:paraId="7386CD39" w14:textId="2C8094E6" w:rsidR="002F4909" w:rsidRPr="008A4588" w:rsidRDefault="002F4909" w:rsidP="008A4588">
            <w:pPr>
              <w:widowControl w:val="0"/>
              <w:spacing w:line="360" w:lineRule="auto"/>
              <w:jc w:val="center"/>
              <w:rPr>
                <w:rFonts w:asciiTheme="minorHAnsi" w:eastAsiaTheme="minorHAnsi" w:hAnsiTheme="minorHAnsi" w:cs="Arial"/>
                <w:lang w:eastAsia="en-US"/>
              </w:rPr>
            </w:pPr>
            <w:r w:rsidRPr="002F4909">
              <w:rPr>
                <w:rFonts w:ascii="Calibri" w:eastAsiaTheme="minorHAnsi" w:hAnsi="Calibri" w:cstheme="minorBidi"/>
                <w:b/>
                <w:bCs/>
                <w:lang w:eastAsia="en-US"/>
              </w:rPr>
              <w:t xml:space="preserve">Typ 3.3 C </w:t>
            </w:r>
            <w:r w:rsidRPr="002F4909">
              <w:rPr>
                <w:rFonts w:asciiTheme="minorHAnsi" w:eastAsiaTheme="minorHAnsi" w:hAnsiTheme="minorHAnsi" w:cs="Arial"/>
                <w:b/>
                <w:lang w:eastAsia="en-US"/>
              </w:rPr>
              <w:t>projekty demonstracyjne – publiczne inwestycje  w zakresie budownictwa o znacznie podwyższonych parametrach charakterystyki energetycznej w budynkach użyteczności publicznej</w:t>
            </w:r>
          </w:p>
          <w:p w14:paraId="157BFD05" w14:textId="77777777" w:rsidR="002F4909" w:rsidRPr="002F4909" w:rsidRDefault="002F4909" w:rsidP="002F4909">
            <w:pPr>
              <w:jc w:val="center"/>
              <w:rPr>
                <w:rFonts w:ascii="Calibri" w:eastAsiaTheme="minorHAnsi" w:hAnsi="Calibri" w:cstheme="minorBidi"/>
                <w:strike/>
                <w:lang w:eastAsia="en-US"/>
              </w:rPr>
            </w:pPr>
          </w:p>
          <w:p w14:paraId="50A65F4A" w14:textId="77777777" w:rsidR="002F4909" w:rsidRPr="002F4909" w:rsidRDefault="002F4909" w:rsidP="002F4909">
            <w:pPr>
              <w:jc w:val="right"/>
              <w:rPr>
                <w:rFonts w:ascii="Calibri" w:eastAsiaTheme="minorHAnsi" w:hAnsi="Calibri" w:cstheme="minorBidi"/>
                <w:b/>
                <w:strike/>
                <w:lang w:eastAsia="en-US"/>
              </w:rPr>
            </w:pPr>
            <w:r w:rsidRPr="002F4909">
              <w:rPr>
                <w:rFonts w:ascii="Calibri" w:eastAsiaTheme="minorHAnsi" w:hAnsi="Calibri" w:cstheme="minorBidi"/>
                <w:b/>
                <w:lang w:eastAsia="en-US"/>
              </w:rPr>
              <w:t>Dolnośląska Instytucja Pośrednicząca</w:t>
            </w:r>
          </w:p>
          <w:p w14:paraId="19A275BF" w14:textId="77777777" w:rsidR="002F4909" w:rsidRPr="002F4909" w:rsidRDefault="002F4909" w:rsidP="002F4909">
            <w:pPr>
              <w:jc w:val="right"/>
              <w:rPr>
                <w:rFonts w:ascii="Calibri" w:eastAsiaTheme="minorHAnsi" w:hAnsi="Calibri" w:cstheme="minorBidi"/>
                <w:b/>
                <w:strike/>
                <w:lang w:eastAsia="en-US"/>
              </w:rPr>
            </w:pPr>
            <w:r w:rsidRPr="002F4909">
              <w:rPr>
                <w:rFonts w:ascii="Calibri" w:eastAsiaTheme="minorHAnsi" w:hAnsi="Calibri" w:cstheme="minorBidi"/>
                <w:b/>
                <w:lang w:eastAsia="en-US"/>
              </w:rPr>
              <w:t>ul. Strzegomska 2-4</w:t>
            </w:r>
          </w:p>
          <w:p w14:paraId="088BEE64" w14:textId="77777777" w:rsidR="002F4909" w:rsidRPr="002F4909" w:rsidRDefault="002F4909" w:rsidP="002F4909">
            <w:pPr>
              <w:spacing w:line="276" w:lineRule="auto"/>
              <w:jc w:val="right"/>
              <w:rPr>
                <w:rFonts w:asciiTheme="minorHAnsi" w:eastAsiaTheme="minorHAnsi" w:hAnsiTheme="minorHAnsi" w:cstheme="minorBidi"/>
                <w:b/>
                <w:bCs/>
                <w:strike/>
                <w:sz w:val="22"/>
                <w:szCs w:val="22"/>
                <w:lang w:eastAsia="en-US"/>
              </w:rPr>
            </w:pPr>
            <w:r w:rsidRPr="002F4909">
              <w:rPr>
                <w:rFonts w:ascii="Calibri" w:eastAsiaTheme="minorHAnsi" w:hAnsi="Calibri" w:cstheme="minorBidi"/>
                <w:b/>
                <w:bCs/>
                <w:lang w:eastAsia="en-US"/>
              </w:rPr>
              <w:t>53-611 Wrocław</w:t>
            </w:r>
          </w:p>
        </w:tc>
      </w:tr>
    </w:tbl>
    <w:p w14:paraId="27497BB1" w14:textId="77777777" w:rsidR="002F4909" w:rsidRPr="002F4909" w:rsidRDefault="002F4909" w:rsidP="002F4909">
      <w:pPr>
        <w:autoSpaceDE w:val="0"/>
        <w:autoSpaceDN w:val="0"/>
        <w:spacing w:line="276" w:lineRule="auto"/>
        <w:jc w:val="both"/>
        <w:rPr>
          <w:rFonts w:asciiTheme="minorHAnsi" w:hAnsiTheme="minorHAnsi" w:cs="Arial"/>
          <w:sz w:val="22"/>
          <w:szCs w:val="22"/>
        </w:rPr>
      </w:pPr>
    </w:p>
    <w:p w14:paraId="491AEEC5"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Wniosek o dofinansowanie należy sporządzić według Instrukcji wypełniania wniosku o dofinansowanie projektu dostępnej na stronie internetowej DIP.</w:t>
      </w:r>
    </w:p>
    <w:p w14:paraId="2946E19F"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 każdym przypadku, w którym jest mowa o kopii dokumentu potwierdzonej za zgodność </w:t>
      </w:r>
      <w:r w:rsidRPr="002F4909">
        <w:rPr>
          <w:rFonts w:asciiTheme="minorHAnsi" w:hAnsiTheme="minorHAnsi" w:cs="Arial"/>
          <w:sz w:val="22"/>
          <w:szCs w:val="22"/>
        </w:rPr>
        <w:br/>
        <w:t xml:space="preserve">z oryginałem, należy przez to rozumieć: </w:t>
      </w:r>
    </w:p>
    <w:p w14:paraId="1F4A5360"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016D4FB6"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5997B7AE"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Wniosek powinien być trwale spięty w kompletny dokument. </w:t>
      </w:r>
    </w:p>
    <w:p w14:paraId="2C6E81C1"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26748B80" w14:textId="77777777" w:rsidR="002F4909" w:rsidRPr="002F4909" w:rsidRDefault="002F4909" w:rsidP="002F4909">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01884CA" w14:textId="77777777" w:rsidR="002F4909" w:rsidRPr="002F4909" w:rsidRDefault="002F4909" w:rsidP="002F4909">
      <w:pPr>
        <w:autoSpaceDE w:val="0"/>
        <w:autoSpaceDN w:val="0"/>
        <w:spacing w:line="276" w:lineRule="auto"/>
        <w:jc w:val="both"/>
        <w:rPr>
          <w:rFonts w:asciiTheme="minorHAnsi" w:hAnsiTheme="minorHAnsi" w:cs="Arial"/>
          <w:sz w:val="22"/>
          <w:szCs w:val="22"/>
        </w:rPr>
      </w:pPr>
    </w:p>
    <w:p w14:paraId="27AB2AAD" w14:textId="77777777" w:rsidR="002F4909" w:rsidRPr="002F4909" w:rsidRDefault="002F4909" w:rsidP="002F4909">
      <w:pPr>
        <w:autoSpaceDE w:val="0"/>
        <w:autoSpaceDN w:val="0"/>
        <w:spacing w:line="276" w:lineRule="auto"/>
        <w:jc w:val="both"/>
        <w:rPr>
          <w:rFonts w:asciiTheme="minorHAnsi" w:hAnsiTheme="minorHAnsi" w:cs="Arial"/>
          <w:b/>
          <w:sz w:val="22"/>
          <w:szCs w:val="22"/>
        </w:rPr>
      </w:pPr>
      <w:r w:rsidRPr="002F4909">
        <w:rPr>
          <w:rFonts w:asciiTheme="minorHAnsi" w:hAnsiTheme="minorHAnsi" w:cs="Arial"/>
          <w:b/>
          <w:sz w:val="22"/>
          <w:szCs w:val="22"/>
        </w:rPr>
        <w:t>Forma składania wniosków określona w tym punkcie Regulaminu obowiązuje także przy składaniu każdej poprawionej wersji wniosku o dofinansowanie.</w:t>
      </w:r>
    </w:p>
    <w:p w14:paraId="509F7796" w14:textId="77777777" w:rsidR="002F4909" w:rsidRPr="002F4909" w:rsidRDefault="002F4909" w:rsidP="002F4909">
      <w:pPr>
        <w:autoSpaceDE w:val="0"/>
        <w:autoSpaceDN w:val="0"/>
        <w:spacing w:line="276" w:lineRule="auto"/>
        <w:jc w:val="both"/>
        <w:rPr>
          <w:rFonts w:asciiTheme="minorHAnsi" w:hAnsiTheme="minorHAnsi" w:cs="Arial"/>
          <w:sz w:val="22"/>
          <w:szCs w:val="22"/>
        </w:rPr>
      </w:pPr>
    </w:p>
    <w:p w14:paraId="10BB8E36" w14:textId="77777777" w:rsidR="002F4909" w:rsidRPr="002F4909" w:rsidRDefault="002F4909" w:rsidP="002F4909">
      <w:pPr>
        <w:widowControl w:val="0"/>
        <w:spacing w:line="276" w:lineRule="auto"/>
        <w:jc w:val="both"/>
        <w:rPr>
          <w:rFonts w:asciiTheme="minorHAnsi" w:eastAsiaTheme="minorHAnsi" w:hAnsiTheme="minorHAnsi" w:cs="Arial"/>
          <w:b/>
          <w:sz w:val="22"/>
          <w:szCs w:val="22"/>
          <w:lang w:eastAsia="en-US"/>
        </w:rPr>
      </w:pPr>
      <w:r w:rsidRPr="002F4909">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63B84235" w14:textId="77777777" w:rsidR="00F2790E" w:rsidRPr="00A003F1" w:rsidRDefault="00F2790E" w:rsidP="00B173B3">
      <w:pPr>
        <w:autoSpaceDE w:val="0"/>
        <w:contextualSpacing/>
        <w:rPr>
          <w:rFonts w:asciiTheme="minorHAnsi" w:hAnsiTheme="minorHAnsi"/>
          <w:sz w:val="22"/>
          <w:szCs w:val="22"/>
        </w:rPr>
      </w:pPr>
    </w:p>
    <w:p w14:paraId="2ED0E1D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b/>
          <w:sz w:val="22"/>
          <w:szCs w:val="22"/>
        </w:rPr>
        <w:t>Zasady wyboru projektów</w:t>
      </w:r>
    </w:p>
    <w:p w14:paraId="1E75C9BB" w14:textId="77777777" w:rsidR="00F2790E" w:rsidRDefault="00F2790E" w:rsidP="00630C48">
      <w:pPr>
        <w:autoSpaceDE w:val="0"/>
        <w:ind w:left="284"/>
        <w:contextualSpacing/>
        <w:rPr>
          <w:rFonts w:asciiTheme="minorHAnsi" w:hAnsiTheme="minorHAnsi" w:cs="Calibri"/>
          <w:b/>
          <w:bCs/>
          <w:sz w:val="22"/>
          <w:szCs w:val="22"/>
        </w:rPr>
      </w:pPr>
    </w:p>
    <w:p w14:paraId="27C8DABC" w14:textId="064B637F" w:rsidR="00440B2D" w:rsidRPr="00793877" w:rsidRDefault="00440B2D" w:rsidP="00F40FDC">
      <w:pPr>
        <w:spacing w:line="276" w:lineRule="auto"/>
        <w:jc w:val="both"/>
        <w:rPr>
          <w:rFonts w:asciiTheme="minorHAnsi" w:hAnsiTheme="minorHAnsi"/>
          <w:sz w:val="22"/>
          <w:szCs w:val="22"/>
        </w:rPr>
      </w:pPr>
      <w:r w:rsidRPr="00793877">
        <w:rPr>
          <w:rFonts w:asciiTheme="minorHAnsi" w:hAnsiTheme="minorHAnsi"/>
          <w:sz w:val="22"/>
          <w:szCs w:val="22"/>
        </w:rPr>
        <w:t xml:space="preserve">Konkurs nie został podzielony na rundy, o których mowa w art. 39 ust. 3 ustawy dnia 11 lipca 2014 r. </w:t>
      </w:r>
      <w:r w:rsidR="002F4909">
        <w:rPr>
          <w:rFonts w:asciiTheme="minorHAnsi" w:hAnsiTheme="minorHAnsi"/>
          <w:sz w:val="22"/>
          <w:szCs w:val="22"/>
        </w:rPr>
        <w:br/>
      </w:r>
      <w:r w:rsidRPr="00793877">
        <w:rPr>
          <w:rFonts w:asciiTheme="minorHAnsi" w:hAnsiTheme="minorHAnsi"/>
          <w:sz w:val="22"/>
          <w:szCs w:val="22"/>
        </w:rPr>
        <w:t>o zasadach realizacji programów w zakresie polityki spójności finansowanych w perspektywie finansowej 2014-2020.</w:t>
      </w:r>
    </w:p>
    <w:p w14:paraId="5F7C22EE" w14:textId="77777777" w:rsidR="00440B2D" w:rsidRPr="00440B2D" w:rsidRDefault="00440B2D" w:rsidP="00F40FDC">
      <w:pPr>
        <w:autoSpaceDE w:val="0"/>
        <w:spacing w:line="276" w:lineRule="auto"/>
        <w:ind w:left="284"/>
        <w:contextualSpacing/>
        <w:rPr>
          <w:rFonts w:asciiTheme="minorHAnsi" w:hAnsiTheme="minorHAnsi" w:cs="Calibri"/>
          <w:b/>
          <w:bCs/>
          <w:sz w:val="22"/>
          <w:szCs w:val="22"/>
        </w:rPr>
      </w:pPr>
    </w:p>
    <w:p w14:paraId="3854ECFD" w14:textId="77777777" w:rsidR="00F2790E" w:rsidRPr="00923B2F" w:rsidRDefault="00487CF3" w:rsidP="00F40FDC">
      <w:pPr>
        <w:autoSpaceDE w:val="0"/>
        <w:spacing w:line="276" w:lineRule="auto"/>
        <w:rPr>
          <w:rFonts w:asciiTheme="minorHAnsi" w:hAnsiTheme="minorHAnsi"/>
          <w:sz w:val="22"/>
          <w:szCs w:val="22"/>
        </w:rPr>
      </w:pPr>
      <w:r w:rsidRPr="00440B2D">
        <w:rPr>
          <w:rFonts w:asciiTheme="minorHAnsi" w:hAnsiTheme="minorHAnsi"/>
          <w:sz w:val="22"/>
          <w:szCs w:val="22"/>
        </w:rPr>
        <w:t xml:space="preserve">Szczegółowe </w:t>
      </w:r>
      <w:r w:rsidR="00F2790E" w:rsidRPr="00923B2F">
        <w:rPr>
          <w:rFonts w:asciiTheme="minorHAnsi" w:hAnsiTheme="minorHAnsi"/>
          <w:sz w:val="22"/>
          <w:szCs w:val="22"/>
        </w:rPr>
        <w:t>informacje na temat zasad wyboru projektów znajdują się w Regulaminie Konkursu.</w:t>
      </w:r>
    </w:p>
    <w:p w14:paraId="2D14684C" w14:textId="77777777" w:rsidR="0087190B" w:rsidRDefault="0087190B" w:rsidP="00440B2D">
      <w:pPr>
        <w:autoSpaceDE w:val="0"/>
        <w:ind w:left="284"/>
        <w:contextualSpacing/>
        <w:rPr>
          <w:rFonts w:asciiTheme="minorHAnsi" w:hAnsiTheme="minorHAnsi"/>
          <w:b/>
          <w:sz w:val="22"/>
          <w:szCs w:val="22"/>
        </w:rPr>
      </w:pPr>
    </w:p>
    <w:p w14:paraId="5BDCFB78" w14:textId="77777777" w:rsidR="008A4588" w:rsidRDefault="008A4588" w:rsidP="00440B2D">
      <w:pPr>
        <w:autoSpaceDE w:val="0"/>
        <w:ind w:left="284"/>
        <w:contextualSpacing/>
        <w:rPr>
          <w:rFonts w:asciiTheme="minorHAnsi" w:hAnsiTheme="minorHAnsi"/>
          <w:b/>
          <w:sz w:val="22"/>
          <w:szCs w:val="22"/>
        </w:rPr>
      </w:pPr>
    </w:p>
    <w:p w14:paraId="47A8021C" w14:textId="77777777" w:rsidR="008A4588" w:rsidRDefault="008A4588" w:rsidP="00440B2D">
      <w:pPr>
        <w:autoSpaceDE w:val="0"/>
        <w:ind w:left="284"/>
        <w:contextualSpacing/>
        <w:rPr>
          <w:rFonts w:asciiTheme="minorHAnsi" w:hAnsiTheme="minorHAnsi"/>
          <w:b/>
          <w:sz w:val="22"/>
          <w:szCs w:val="22"/>
        </w:rPr>
      </w:pPr>
    </w:p>
    <w:p w14:paraId="1365CC02" w14:textId="77777777" w:rsidR="008A4588" w:rsidRDefault="008A4588" w:rsidP="00440B2D">
      <w:pPr>
        <w:autoSpaceDE w:val="0"/>
        <w:ind w:left="284"/>
        <w:contextualSpacing/>
        <w:rPr>
          <w:rFonts w:asciiTheme="minorHAnsi" w:hAnsiTheme="minorHAnsi"/>
          <w:b/>
          <w:sz w:val="22"/>
          <w:szCs w:val="22"/>
        </w:rPr>
      </w:pPr>
    </w:p>
    <w:p w14:paraId="4350286A" w14:textId="77777777" w:rsidR="008A4588" w:rsidRPr="00A003F1" w:rsidRDefault="008A4588" w:rsidP="00440B2D">
      <w:pPr>
        <w:autoSpaceDE w:val="0"/>
        <w:ind w:left="284"/>
        <w:contextualSpacing/>
        <w:rPr>
          <w:rFonts w:asciiTheme="minorHAnsi" w:hAnsiTheme="minorHAnsi"/>
          <w:b/>
          <w:sz w:val="22"/>
          <w:szCs w:val="22"/>
        </w:rPr>
      </w:pPr>
    </w:p>
    <w:p w14:paraId="02F202E8" w14:textId="77777777" w:rsidR="00260F26" w:rsidRPr="00A003F1" w:rsidRDefault="00260F26" w:rsidP="00440B2D">
      <w:pPr>
        <w:autoSpaceDE w:val="0"/>
        <w:ind w:left="284"/>
        <w:contextualSpacing/>
        <w:rPr>
          <w:rFonts w:asciiTheme="minorHAnsi" w:hAnsiTheme="minorHAnsi"/>
          <w:b/>
          <w:sz w:val="22"/>
          <w:szCs w:val="22"/>
        </w:rPr>
      </w:pPr>
    </w:p>
    <w:p w14:paraId="196622D9"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 xml:space="preserve">Termin </w:t>
      </w:r>
      <w:r w:rsidR="00C35581" w:rsidRPr="00A003F1">
        <w:rPr>
          <w:rFonts w:asciiTheme="minorHAnsi" w:hAnsiTheme="minorHAnsi" w:cs="Calibri"/>
          <w:b/>
          <w:bCs/>
          <w:sz w:val="22"/>
          <w:szCs w:val="22"/>
        </w:rPr>
        <w:t>rozstrzygnięcia konkursu</w:t>
      </w:r>
    </w:p>
    <w:p w14:paraId="7E53AAE2" w14:textId="77777777" w:rsidR="00F2790E" w:rsidRPr="00A003F1" w:rsidRDefault="00F2790E" w:rsidP="00547FC0">
      <w:pPr>
        <w:autoSpaceDE w:val="0"/>
        <w:contextualSpacing/>
        <w:jc w:val="both"/>
        <w:rPr>
          <w:rFonts w:asciiTheme="minorHAnsi" w:hAnsiTheme="minorHAnsi"/>
          <w:b/>
          <w:sz w:val="22"/>
          <w:szCs w:val="22"/>
        </w:rPr>
      </w:pPr>
    </w:p>
    <w:p w14:paraId="6ACF9EF4" w14:textId="77777777" w:rsidR="00547FC0" w:rsidRDefault="00547FC0" w:rsidP="00547FC0">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Rozstrzygnięcie konkursu nastąpi po zakończeniu procedury oceny formalnej, merytorycznej wszystkich wniosków o dofinansowanie.</w:t>
      </w:r>
    </w:p>
    <w:p w14:paraId="3A11E469" w14:textId="77777777" w:rsidR="00547FC0" w:rsidRPr="00547FC0" w:rsidRDefault="00547FC0" w:rsidP="00547FC0">
      <w:pPr>
        <w:autoSpaceDE w:val="0"/>
        <w:spacing w:line="276" w:lineRule="auto"/>
        <w:jc w:val="both"/>
        <w:rPr>
          <w:rFonts w:asciiTheme="minorHAnsi" w:hAnsiTheme="minorHAnsi" w:cs="Calibri"/>
          <w:sz w:val="22"/>
          <w:szCs w:val="22"/>
        </w:rPr>
      </w:pPr>
    </w:p>
    <w:p w14:paraId="5B746E07" w14:textId="77777777" w:rsidR="00547FC0" w:rsidRDefault="00547FC0" w:rsidP="00547FC0">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Wyniki rozstrzygnięcia konkursu zostaną opublikowane na stronie internetowej DIP (www.dip.dolnyslask.pl) oraz na portalu Funduszy Europejskich (</w:t>
      </w:r>
      <w:hyperlink r:id="rId9" w:history="1">
        <w:r w:rsidRPr="00547FC0">
          <w:rPr>
            <w:rStyle w:val="Hipercze"/>
            <w:rFonts w:asciiTheme="minorHAnsi" w:hAnsiTheme="minorHAnsi" w:cs="Calibri"/>
            <w:sz w:val="22"/>
            <w:szCs w:val="22"/>
          </w:rPr>
          <w:t>www.funduszeeuropejskie.gov.pl</w:t>
        </w:r>
      </w:hyperlink>
      <w:r w:rsidRPr="00547FC0">
        <w:rPr>
          <w:rFonts w:asciiTheme="minorHAnsi" w:hAnsiTheme="minorHAnsi" w:cs="Calibri"/>
          <w:sz w:val="22"/>
          <w:szCs w:val="22"/>
        </w:rPr>
        <w:t>) jako lista projektów, które uzyskały wymaganą liczbę punktów z wyróżnieniem projektów wybranych do dofinansowania. Każdy Wnioskodawca zostaje powiadomiony pisemnie o zakończeniu oceny jego projektu.</w:t>
      </w:r>
    </w:p>
    <w:p w14:paraId="1CADF33D" w14:textId="77777777" w:rsidR="00547FC0" w:rsidRPr="00547FC0" w:rsidRDefault="00547FC0" w:rsidP="00547FC0">
      <w:pPr>
        <w:autoSpaceDE w:val="0"/>
        <w:spacing w:line="276" w:lineRule="auto"/>
        <w:jc w:val="both"/>
        <w:rPr>
          <w:rFonts w:asciiTheme="minorHAnsi" w:hAnsiTheme="minorHAnsi" w:cs="Calibri"/>
          <w:sz w:val="22"/>
          <w:szCs w:val="22"/>
        </w:rPr>
      </w:pPr>
    </w:p>
    <w:p w14:paraId="585925D4" w14:textId="7E106D39" w:rsidR="00547FC0" w:rsidRDefault="00547FC0" w:rsidP="00547FC0">
      <w:pPr>
        <w:autoSpaceDE w:val="0"/>
        <w:spacing w:line="276" w:lineRule="auto"/>
        <w:jc w:val="both"/>
        <w:rPr>
          <w:rFonts w:asciiTheme="minorHAnsi" w:hAnsiTheme="minorHAnsi" w:cs="Calibri"/>
          <w:b/>
          <w:sz w:val="22"/>
          <w:szCs w:val="22"/>
        </w:rPr>
      </w:pPr>
      <w:r w:rsidRPr="00547FC0">
        <w:rPr>
          <w:rFonts w:asciiTheme="minorHAnsi" w:hAnsiTheme="minorHAnsi" w:cs="Calibri"/>
          <w:sz w:val="22"/>
          <w:szCs w:val="22"/>
        </w:rPr>
        <w:t xml:space="preserve">Orientacyjny termin rozstrzygnięcia konkursu </w:t>
      </w:r>
      <w:r w:rsidRPr="00E71A85">
        <w:rPr>
          <w:rFonts w:asciiTheme="minorHAnsi" w:hAnsiTheme="minorHAnsi" w:cs="Calibri"/>
          <w:sz w:val="22"/>
          <w:szCs w:val="22"/>
        </w:rPr>
        <w:t>to</w:t>
      </w:r>
      <w:r w:rsidR="00033B29" w:rsidRPr="00E71A85">
        <w:rPr>
          <w:rFonts w:asciiTheme="minorHAnsi" w:hAnsiTheme="minorHAnsi" w:cs="Calibri"/>
          <w:sz w:val="22"/>
          <w:szCs w:val="22"/>
        </w:rPr>
        <w:t xml:space="preserve"> </w:t>
      </w:r>
      <w:r w:rsidR="00532CB6">
        <w:rPr>
          <w:rFonts w:asciiTheme="minorHAnsi" w:hAnsiTheme="minorHAnsi" w:cs="Calibri"/>
          <w:b/>
          <w:sz w:val="22"/>
          <w:szCs w:val="22"/>
        </w:rPr>
        <w:t xml:space="preserve">październik </w:t>
      </w:r>
      <w:r w:rsidR="00532CB6" w:rsidRPr="00E71A85">
        <w:rPr>
          <w:rFonts w:asciiTheme="minorHAnsi" w:hAnsiTheme="minorHAnsi" w:cs="Calibri"/>
          <w:b/>
          <w:sz w:val="22"/>
          <w:szCs w:val="22"/>
        </w:rPr>
        <w:t xml:space="preserve"> </w:t>
      </w:r>
      <w:r w:rsidRPr="00E71A85">
        <w:rPr>
          <w:rFonts w:asciiTheme="minorHAnsi" w:hAnsiTheme="minorHAnsi" w:cs="Calibri"/>
          <w:b/>
          <w:sz w:val="22"/>
          <w:szCs w:val="22"/>
        </w:rPr>
        <w:t>201</w:t>
      </w:r>
      <w:r w:rsidR="00547B13" w:rsidRPr="00E71A85">
        <w:rPr>
          <w:rFonts w:asciiTheme="minorHAnsi" w:hAnsiTheme="minorHAnsi" w:cs="Calibri"/>
          <w:b/>
          <w:sz w:val="22"/>
          <w:szCs w:val="22"/>
        </w:rPr>
        <w:t>9</w:t>
      </w:r>
      <w:r w:rsidRPr="00E71A85">
        <w:rPr>
          <w:rFonts w:asciiTheme="minorHAnsi" w:hAnsiTheme="minorHAnsi" w:cs="Calibri"/>
          <w:b/>
          <w:sz w:val="22"/>
          <w:szCs w:val="22"/>
        </w:rPr>
        <w:t xml:space="preserve"> r.</w:t>
      </w:r>
    </w:p>
    <w:p w14:paraId="6F0D1878" w14:textId="77777777" w:rsidR="00547FC0" w:rsidRPr="00547FC0" w:rsidRDefault="00547FC0" w:rsidP="00547FC0">
      <w:pPr>
        <w:autoSpaceDE w:val="0"/>
        <w:spacing w:line="276" w:lineRule="auto"/>
        <w:jc w:val="both"/>
        <w:rPr>
          <w:rFonts w:asciiTheme="minorHAnsi" w:hAnsiTheme="minorHAnsi" w:cs="Calibri"/>
          <w:sz w:val="22"/>
          <w:szCs w:val="22"/>
        </w:rPr>
      </w:pPr>
    </w:p>
    <w:p w14:paraId="133C71A6" w14:textId="752B537B" w:rsidR="002F4909" w:rsidRPr="008A4588" w:rsidRDefault="00547FC0" w:rsidP="008A4588">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IOK zastrzega sobie zmianę terminu rozstrzygnięcia konkursu.</w:t>
      </w:r>
    </w:p>
    <w:p w14:paraId="10E09D1D" w14:textId="77777777" w:rsidR="002F4909" w:rsidRPr="00A003F1" w:rsidRDefault="002F4909" w:rsidP="00440B2D">
      <w:pPr>
        <w:autoSpaceDE w:val="0"/>
        <w:spacing w:line="276" w:lineRule="auto"/>
        <w:rPr>
          <w:rFonts w:asciiTheme="minorHAnsi" w:hAnsiTheme="minorHAnsi"/>
          <w:sz w:val="22"/>
          <w:szCs w:val="22"/>
        </w:rPr>
      </w:pPr>
    </w:p>
    <w:p w14:paraId="069D8A12"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 xml:space="preserve">Informacja o środkach odwoławczych przysługujących Wnioskodawcy </w:t>
      </w:r>
    </w:p>
    <w:p w14:paraId="64C686D0" w14:textId="77777777" w:rsidR="00F2790E" w:rsidRPr="00A003F1" w:rsidRDefault="00F2790E" w:rsidP="00440B2D">
      <w:pPr>
        <w:autoSpaceDE w:val="0"/>
        <w:autoSpaceDN w:val="0"/>
        <w:adjustRightInd w:val="0"/>
        <w:rPr>
          <w:rFonts w:asciiTheme="minorHAnsi" w:hAnsiTheme="minorHAnsi"/>
          <w:sz w:val="22"/>
          <w:szCs w:val="22"/>
        </w:rPr>
      </w:pPr>
    </w:p>
    <w:p w14:paraId="2F2ED532" w14:textId="77777777" w:rsidR="00A003F1" w:rsidRPr="00A003F1" w:rsidRDefault="00D85444" w:rsidP="008A4588">
      <w:pPr>
        <w:autoSpaceDE w:val="0"/>
        <w:autoSpaceDN w:val="0"/>
        <w:adjustRightInd w:val="0"/>
        <w:spacing w:line="276" w:lineRule="auto"/>
        <w:jc w:val="both"/>
        <w:rPr>
          <w:rFonts w:asciiTheme="minorHAnsi" w:hAnsiTheme="minorHAnsi" w:cs="Calibri"/>
          <w:sz w:val="22"/>
          <w:szCs w:val="22"/>
        </w:rPr>
      </w:pPr>
      <w:r w:rsidRPr="00A003F1">
        <w:rPr>
          <w:rFonts w:asciiTheme="minorHAnsi" w:hAnsiTheme="minorHAnsi" w:cs="Calibri"/>
          <w:sz w:val="22"/>
          <w:szCs w:val="22"/>
        </w:rPr>
        <w:t>Wnioskodawcy,  w  przypadku  negatywnej  oceny  jego  projektu,  przysługuje  prawo  do wniesienia protestu,  zgodnie  z  zas</w:t>
      </w:r>
      <w:r w:rsidR="00A003F1" w:rsidRPr="00A003F1">
        <w:rPr>
          <w:rFonts w:asciiTheme="minorHAnsi" w:hAnsiTheme="minorHAnsi" w:cs="Calibri"/>
          <w:sz w:val="22"/>
          <w:szCs w:val="22"/>
        </w:rPr>
        <w:t xml:space="preserve">adami  określonymi w </w:t>
      </w:r>
      <w:r w:rsidR="00A003F1" w:rsidRPr="00A003F1">
        <w:rPr>
          <w:rFonts w:asciiTheme="minorHAnsi" w:hAnsiTheme="minorHAnsi" w:cs="Arial"/>
          <w:sz w:val="22"/>
          <w:szCs w:val="22"/>
        </w:rPr>
        <w:t>ustawie z dnia 11 lipca 2014 r. o zasadach realizacji programów w zakresie polityki spójności finansowanych w pe</w:t>
      </w:r>
      <w:r w:rsidR="00FB0679">
        <w:rPr>
          <w:rFonts w:asciiTheme="minorHAnsi" w:hAnsiTheme="minorHAnsi" w:cs="Arial"/>
          <w:sz w:val="22"/>
          <w:szCs w:val="22"/>
        </w:rPr>
        <w:t>rspektywie finansowej 2014-2020.</w:t>
      </w:r>
    </w:p>
    <w:p w14:paraId="32B5ADC4" w14:textId="77777777" w:rsidR="006755EB" w:rsidRDefault="00D85444" w:rsidP="00440B2D">
      <w:pPr>
        <w:tabs>
          <w:tab w:val="left" w:pos="284"/>
        </w:tabs>
        <w:autoSpaceDE w:val="0"/>
        <w:spacing w:line="276" w:lineRule="auto"/>
        <w:rPr>
          <w:rFonts w:asciiTheme="minorHAnsi" w:hAnsiTheme="minorHAnsi" w:cs="Calibri"/>
          <w:sz w:val="22"/>
          <w:szCs w:val="22"/>
        </w:rPr>
      </w:pPr>
      <w:r w:rsidRPr="00A003F1">
        <w:rPr>
          <w:rFonts w:asciiTheme="minorHAnsi" w:hAnsiTheme="minorHAnsi" w:cs="Calibri"/>
          <w:sz w:val="22"/>
          <w:szCs w:val="22"/>
        </w:rPr>
        <w:t>Szczegółowe informacje na temat procedury odwoławczej znajdują się w Regulaminie Konkursu.</w:t>
      </w:r>
    </w:p>
    <w:p w14:paraId="3F95800F" w14:textId="77777777" w:rsidR="006755EB" w:rsidRPr="00A003F1" w:rsidRDefault="006755EB" w:rsidP="00440B2D">
      <w:pPr>
        <w:tabs>
          <w:tab w:val="left" w:pos="284"/>
        </w:tabs>
        <w:autoSpaceDE w:val="0"/>
        <w:spacing w:line="276" w:lineRule="auto"/>
        <w:rPr>
          <w:rFonts w:asciiTheme="minorHAnsi" w:hAnsiTheme="minorHAnsi" w:cs="Calibri"/>
          <w:sz w:val="22"/>
          <w:szCs w:val="22"/>
        </w:rPr>
      </w:pPr>
    </w:p>
    <w:p w14:paraId="655EA247"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Dokumentacja konkursowa</w:t>
      </w:r>
    </w:p>
    <w:p w14:paraId="7A846E08" w14:textId="77777777" w:rsidR="00F2790E" w:rsidRPr="00A003F1" w:rsidRDefault="00F2790E" w:rsidP="00440B2D">
      <w:pPr>
        <w:tabs>
          <w:tab w:val="left" w:pos="284"/>
        </w:tabs>
        <w:autoSpaceDE w:val="0"/>
        <w:rPr>
          <w:rFonts w:asciiTheme="minorHAnsi" w:hAnsiTheme="minorHAnsi" w:cs="Calibri"/>
          <w:sz w:val="22"/>
          <w:szCs w:val="22"/>
        </w:rPr>
      </w:pPr>
    </w:p>
    <w:p w14:paraId="457E2CDB" w14:textId="2FFCD38D" w:rsidR="00182069" w:rsidRPr="00A003F1" w:rsidRDefault="00182069" w:rsidP="00440B2D">
      <w:pPr>
        <w:tabs>
          <w:tab w:val="left" w:pos="284"/>
        </w:tabs>
        <w:autoSpaceDE w:val="0"/>
        <w:spacing w:line="276" w:lineRule="auto"/>
        <w:rPr>
          <w:rStyle w:val="Hipercze"/>
          <w:rFonts w:asciiTheme="minorHAnsi" w:hAnsiTheme="minorHAnsi" w:cs="Calibri"/>
          <w:color w:val="auto"/>
          <w:sz w:val="22"/>
          <w:szCs w:val="22"/>
          <w:u w:val="none"/>
        </w:rPr>
      </w:pPr>
      <w:r w:rsidRPr="00A003F1">
        <w:rPr>
          <w:rFonts w:asciiTheme="minorHAnsi" w:hAnsiTheme="minorHAnsi" w:cs="Calibri"/>
          <w:sz w:val="22"/>
          <w:szCs w:val="22"/>
        </w:rPr>
        <w:t xml:space="preserve">Regulamin Konkursu wraz z załącznikami (pełna dokumentacja) do </w:t>
      </w:r>
      <w:r w:rsidR="006755EB">
        <w:rPr>
          <w:rFonts w:asciiTheme="minorHAnsi" w:hAnsiTheme="minorHAnsi"/>
          <w:sz w:val="22"/>
          <w:szCs w:val="22"/>
        </w:rPr>
        <w:t>Działania 3.3</w:t>
      </w:r>
      <w:r w:rsidR="00547B13">
        <w:rPr>
          <w:rFonts w:asciiTheme="minorHAnsi" w:hAnsiTheme="minorHAnsi"/>
          <w:sz w:val="22"/>
          <w:szCs w:val="22"/>
        </w:rPr>
        <w:t>, Podziałania 3.3.1</w:t>
      </w:r>
      <w:r w:rsidR="00547FC0">
        <w:rPr>
          <w:rFonts w:asciiTheme="minorHAnsi" w:hAnsiTheme="minorHAnsi"/>
          <w:sz w:val="22"/>
          <w:szCs w:val="22"/>
        </w:rPr>
        <w:t xml:space="preserve">, </w:t>
      </w:r>
      <w:r w:rsidR="00B16859">
        <w:rPr>
          <w:rFonts w:asciiTheme="minorHAnsi" w:hAnsiTheme="minorHAnsi"/>
          <w:sz w:val="22"/>
          <w:szCs w:val="22"/>
        </w:rPr>
        <w:t>Typ 3.3 C</w:t>
      </w:r>
      <w:r w:rsidR="00547B13">
        <w:rPr>
          <w:rFonts w:asciiTheme="minorHAnsi" w:hAnsiTheme="minorHAnsi"/>
          <w:sz w:val="22"/>
          <w:szCs w:val="22"/>
        </w:rPr>
        <w:t xml:space="preserve"> </w:t>
      </w:r>
      <w:r w:rsidRPr="00A003F1">
        <w:rPr>
          <w:rFonts w:asciiTheme="minorHAnsi" w:hAnsiTheme="minorHAnsi" w:cs="Calibri"/>
          <w:sz w:val="22"/>
          <w:szCs w:val="22"/>
        </w:rPr>
        <w:t xml:space="preserve">znajduje się na stronie Dolnośląskiej Instytucji Pośredniczącej: </w:t>
      </w:r>
      <w:hyperlink r:id="rId10" w:history="1">
        <w:r w:rsidRPr="00A003F1">
          <w:rPr>
            <w:rStyle w:val="Hipercze"/>
            <w:rFonts w:asciiTheme="minorHAnsi" w:hAnsiTheme="minorHAnsi" w:cs="Calibri"/>
            <w:color w:val="auto"/>
            <w:sz w:val="22"/>
            <w:szCs w:val="22"/>
          </w:rPr>
          <w:t>www.dip.dolnyslask.pl</w:t>
        </w:r>
      </w:hyperlink>
      <w:r w:rsidR="006755EB">
        <w:rPr>
          <w:rStyle w:val="Hipercze"/>
          <w:rFonts w:asciiTheme="minorHAnsi" w:hAnsiTheme="minorHAnsi" w:cs="Calibri"/>
          <w:color w:val="auto"/>
          <w:sz w:val="22"/>
          <w:szCs w:val="22"/>
        </w:rPr>
        <w:t xml:space="preserve">. </w:t>
      </w:r>
    </w:p>
    <w:p w14:paraId="148BA275" w14:textId="77777777" w:rsidR="00F2790E" w:rsidRPr="00A003F1" w:rsidRDefault="00F2790E" w:rsidP="00440B2D">
      <w:pPr>
        <w:tabs>
          <w:tab w:val="left" w:pos="284"/>
        </w:tabs>
        <w:autoSpaceDE w:val="0"/>
        <w:rPr>
          <w:rStyle w:val="Hipercze"/>
          <w:rFonts w:asciiTheme="minorHAnsi" w:hAnsiTheme="minorHAnsi" w:cs="Calibri"/>
          <w:color w:val="auto"/>
          <w:sz w:val="22"/>
          <w:szCs w:val="22"/>
          <w:u w:val="none"/>
        </w:rPr>
      </w:pPr>
    </w:p>
    <w:p w14:paraId="4BE40E43"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Kontakt</w:t>
      </w:r>
    </w:p>
    <w:p w14:paraId="0703FD2E" w14:textId="77777777" w:rsidR="00F2790E" w:rsidRPr="00A003F1" w:rsidRDefault="00F2790E" w:rsidP="00440B2D">
      <w:pPr>
        <w:autoSpaceDE w:val="0"/>
        <w:ind w:left="284"/>
        <w:contextualSpacing/>
        <w:rPr>
          <w:rFonts w:asciiTheme="minorHAnsi" w:hAnsiTheme="minorHAnsi" w:cs="Calibri"/>
          <w:b/>
          <w:sz w:val="22"/>
          <w:szCs w:val="22"/>
        </w:rPr>
      </w:pPr>
    </w:p>
    <w:p w14:paraId="3F148336" w14:textId="114C85D1" w:rsidR="006F0510" w:rsidRPr="006F0510" w:rsidRDefault="006F0510"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6F0510">
        <w:rPr>
          <w:rFonts w:asciiTheme="minorHAnsi" w:eastAsiaTheme="minorHAnsi" w:hAnsiTheme="minorHAnsi" w:cs="Calibri"/>
          <w:sz w:val="22"/>
          <w:szCs w:val="22"/>
          <w:lang w:eastAsia="en-US"/>
        </w:rPr>
        <w:t xml:space="preserve">Pytania  dotyczące  aplikowania  o  środki  w  do Działania </w:t>
      </w:r>
      <w:r w:rsidR="00547B13">
        <w:rPr>
          <w:rFonts w:asciiTheme="minorHAnsi" w:eastAsiaTheme="minorHAnsi" w:hAnsiTheme="minorHAnsi" w:cs="Calibri"/>
          <w:sz w:val="22"/>
          <w:szCs w:val="22"/>
          <w:lang w:eastAsia="en-US"/>
        </w:rPr>
        <w:t>3.3</w:t>
      </w:r>
      <w:r w:rsidRPr="006F0510">
        <w:rPr>
          <w:rFonts w:asciiTheme="minorHAnsi" w:eastAsiaTheme="minorHAnsi" w:hAnsiTheme="minorHAnsi" w:cs="Calibri"/>
          <w:sz w:val="22"/>
          <w:szCs w:val="22"/>
          <w:lang w:eastAsia="en-US"/>
        </w:rPr>
        <w:t xml:space="preserve">, </w:t>
      </w:r>
      <w:r>
        <w:rPr>
          <w:rFonts w:asciiTheme="minorHAnsi" w:hAnsiTheme="minorHAnsi"/>
          <w:sz w:val="22"/>
          <w:szCs w:val="22"/>
        </w:rPr>
        <w:t xml:space="preserve">Podziałania </w:t>
      </w:r>
      <w:r w:rsidR="00547B13">
        <w:rPr>
          <w:rFonts w:asciiTheme="minorHAnsi" w:hAnsiTheme="minorHAnsi"/>
          <w:sz w:val="22"/>
          <w:szCs w:val="22"/>
        </w:rPr>
        <w:t>3.3.1</w:t>
      </w:r>
      <w:r>
        <w:rPr>
          <w:rFonts w:asciiTheme="minorHAnsi" w:hAnsiTheme="minorHAnsi"/>
          <w:sz w:val="22"/>
          <w:szCs w:val="22"/>
        </w:rPr>
        <w:t xml:space="preserve">, </w:t>
      </w:r>
      <w:r w:rsidR="00547B13">
        <w:rPr>
          <w:rFonts w:asciiTheme="minorHAnsi" w:hAnsiTheme="minorHAnsi"/>
          <w:sz w:val="22"/>
          <w:szCs w:val="22"/>
        </w:rPr>
        <w:t>Typ 3.3</w:t>
      </w:r>
      <w:r w:rsidR="00B16859">
        <w:rPr>
          <w:rFonts w:asciiTheme="minorHAnsi" w:hAnsiTheme="minorHAnsi"/>
          <w:sz w:val="22"/>
          <w:szCs w:val="22"/>
        </w:rPr>
        <w:t xml:space="preserve"> C</w:t>
      </w:r>
      <w:r w:rsidR="00547B13">
        <w:rPr>
          <w:rFonts w:asciiTheme="minorHAnsi" w:hAnsiTheme="minorHAnsi"/>
          <w:sz w:val="22"/>
          <w:szCs w:val="22"/>
        </w:rPr>
        <w:t xml:space="preserve"> </w:t>
      </w:r>
      <w:r w:rsidRPr="006F0510">
        <w:rPr>
          <w:rFonts w:asciiTheme="minorHAnsi" w:eastAsiaTheme="minorHAnsi" w:hAnsiTheme="minorHAnsi" w:cs="Calibri"/>
          <w:sz w:val="22"/>
          <w:szCs w:val="22"/>
          <w:lang w:eastAsia="en-US"/>
        </w:rPr>
        <w:t>można kierować poprzez:</w:t>
      </w:r>
    </w:p>
    <w:p w14:paraId="10FA7C9F" w14:textId="77777777" w:rsidR="006F0510" w:rsidRPr="006F0510" w:rsidRDefault="006F0510" w:rsidP="006F0510">
      <w:pPr>
        <w:autoSpaceDE w:val="0"/>
        <w:spacing w:line="252" w:lineRule="auto"/>
        <w:ind w:left="720" w:firstLine="696"/>
        <w:contextualSpacing/>
        <w:rPr>
          <w:rFonts w:asciiTheme="minorHAnsi" w:hAnsiTheme="minorHAnsi" w:cs="Calibri"/>
          <w:b/>
          <w:bCs/>
          <w:sz w:val="22"/>
          <w:szCs w:val="22"/>
        </w:rPr>
      </w:pPr>
      <w:r w:rsidRPr="006F0510">
        <w:rPr>
          <w:rFonts w:asciiTheme="minorHAnsi" w:hAnsiTheme="minorHAnsi" w:cs="Calibri"/>
          <w:b/>
          <w:bCs/>
          <w:sz w:val="22"/>
          <w:szCs w:val="22"/>
        </w:rPr>
        <w:t xml:space="preserve">Instytucja Organizująca Konkurs (IOK): DIP </w:t>
      </w:r>
    </w:p>
    <w:p w14:paraId="748B969B" w14:textId="77777777" w:rsidR="006F0510" w:rsidRPr="006F0510" w:rsidRDefault="006F0510" w:rsidP="006F0510">
      <w:pPr>
        <w:autoSpaceDE w:val="0"/>
        <w:spacing w:line="252" w:lineRule="auto"/>
        <w:ind w:left="720" w:firstLine="696"/>
        <w:contextualSpacing/>
        <w:rPr>
          <w:rFonts w:asciiTheme="minorHAnsi" w:hAnsiTheme="minorHAnsi" w:cs="Calibri"/>
          <w:b/>
          <w:bCs/>
          <w:sz w:val="22"/>
          <w:szCs w:val="22"/>
        </w:rPr>
      </w:pPr>
    </w:p>
    <w:p w14:paraId="2A1DB704" w14:textId="77777777" w:rsidR="006F0510" w:rsidRPr="006F0510" w:rsidRDefault="006F0510" w:rsidP="00487697">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6F0510">
        <w:rPr>
          <w:rFonts w:asciiTheme="minorHAnsi" w:eastAsiaTheme="minorHAnsi" w:hAnsiTheme="minorHAnsi" w:cstheme="minorBidi"/>
          <w:sz w:val="22"/>
          <w:szCs w:val="22"/>
          <w:lang w:val="en-US" w:eastAsia="en-US"/>
        </w:rPr>
        <w:t xml:space="preserve">E – </w:t>
      </w:r>
      <w:proofErr w:type="spellStart"/>
      <w:r w:rsidRPr="006F0510">
        <w:rPr>
          <w:rFonts w:asciiTheme="minorHAnsi" w:eastAsiaTheme="minorHAnsi" w:hAnsiTheme="minorHAnsi" w:cstheme="minorBidi"/>
          <w:sz w:val="22"/>
          <w:szCs w:val="22"/>
          <w:lang w:val="en-US" w:eastAsia="en-US"/>
        </w:rPr>
        <w:t>maila</w:t>
      </w:r>
      <w:proofErr w:type="spellEnd"/>
      <w:r w:rsidRPr="006F0510">
        <w:rPr>
          <w:rFonts w:asciiTheme="minorHAnsi" w:eastAsiaTheme="minorHAnsi" w:hAnsiTheme="minorHAnsi" w:cstheme="minorBidi"/>
          <w:sz w:val="22"/>
          <w:szCs w:val="22"/>
          <w:lang w:val="en-US" w:eastAsia="en-US"/>
        </w:rPr>
        <w:t xml:space="preserve">: </w:t>
      </w:r>
      <w:hyperlink r:id="rId11" w:history="1">
        <w:r w:rsidRPr="006F0510">
          <w:rPr>
            <w:rFonts w:asciiTheme="minorHAnsi" w:eastAsiaTheme="minorHAnsi" w:hAnsiTheme="minorHAnsi" w:cstheme="minorBidi"/>
            <w:sz w:val="22"/>
            <w:szCs w:val="22"/>
            <w:u w:val="single"/>
            <w:lang w:val="en-US" w:eastAsia="en-US"/>
          </w:rPr>
          <w:t>info.dip@umwd.pl</w:t>
        </w:r>
      </w:hyperlink>
    </w:p>
    <w:p w14:paraId="5102CDEC" w14:textId="77777777" w:rsidR="006F0510" w:rsidRPr="006F0510" w:rsidRDefault="006F0510" w:rsidP="00487697">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6F0510">
        <w:rPr>
          <w:rFonts w:asciiTheme="minorHAnsi" w:eastAsiaTheme="minorHAnsi" w:hAnsiTheme="minorHAnsi" w:cstheme="minorBidi"/>
          <w:sz w:val="22"/>
          <w:szCs w:val="22"/>
          <w:lang w:eastAsia="en-US"/>
        </w:rPr>
        <w:t>Telefon: 71 776 58 12 , 71 776 58 13, 71 776 58 14</w:t>
      </w:r>
    </w:p>
    <w:p w14:paraId="73A2BCC9" w14:textId="77777777" w:rsidR="006F0510" w:rsidRPr="006F0510" w:rsidRDefault="006F0510" w:rsidP="00487697">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6F0510">
        <w:rPr>
          <w:rFonts w:asciiTheme="minorHAnsi" w:eastAsiaTheme="minorHAnsi" w:hAnsiTheme="minorHAnsi" w:cstheme="minorBidi"/>
          <w:sz w:val="22"/>
          <w:szCs w:val="22"/>
          <w:lang w:eastAsia="en-US"/>
        </w:rPr>
        <w:t xml:space="preserve">Bezpośrednio w siedzibie: </w:t>
      </w:r>
    </w:p>
    <w:p w14:paraId="453153FE" w14:textId="77777777" w:rsidR="006F0510" w:rsidRPr="006F0510" w:rsidRDefault="006F0510" w:rsidP="006F0510">
      <w:pPr>
        <w:autoSpaceDE w:val="0"/>
        <w:autoSpaceDN w:val="0"/>
        <w:adjustRightInd w:val="0"/>
        <w:ind w:left="284"/>
        <w:rPr>
          <w:rFonts w:asciiTheme="minorHAnsi" w:eastAsiaTheme="minorHAnsi" w:hAnsiTheme="minorHAnsi" w:cstheme="minorBidi"/>
          <w:sz w:val="22"/>
          <w:szCs w:val="22"/>
          <w:lang w:eastAsia="en-US"/>
        </w:rPr>
      </w:pPr>
    </w:p>
    <w:p w14:paraId="1070238C" w14:textId="77777777" w:rsidR="00467061" w:rsidRDefault="006F0510" w:rsidP="00467061">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6F0510">
        <w:rPr>
          <w:rFonts w:asciiTheme="minorHAnsi" w:eastAsiaTheme="minorHAnsi" w:hAnsiTheme="minorHAnsi" w:cs="Calibri"/>
          <w:b/>
          <w:bCs/>
          <w:sz w:val="22"/>
          <w:szCs w:val="22"/>
          <w:lang w:eastAsia="en-US"/>
        </w:rPr>
        <w:t xml:space="preserve">DIP - Dolnośląska Instytucja Pośrednicząca </w:t>
      </w:r>
      <w:r w:rsidRPr="006F0510">
        <w:rPr>
          <w:rFonts w:asciiTheme="minorHAnsi" w:eastAsiaTheme="minorHAnsi" w:hAnsiTheme="minorHAnsi" w:cs="Calibri"/>
          <w:b/>
          <w:bCs/>
          <w:sz w:val="22"/>
          <w:szCs w:val="22"/>
          <w:lang w:eastAsia="en-US"/>
        </w:rPr>
        <w:br/>
        <w:t>ul. Strzegomska 2-4,</w:t>
      </w:r>
    </w:p>
    <w:p w14:paraId="39107765" w14:textId="77777777" w:rsidR="006F0510" w:rsidRPr="006F0510" w:rsidRDefault="006F0510" w:rsidP="00467061">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6F0510">
        <w:rPr>
          <w:rFonts w:asciiTheme="minorHAnsi" w:eastAsiaTheme="minorHAnsi" w:hAnsiTheme="minorHAnsi" w:cs="Calibri"/>
          <w:b/>
          <w:bCs/>
          <w:sz w:val="22"/>
          <w:szCs w:val="22"/>
          <w:lang w:eastAsia="en-US"/>
        </w:rPr>
        <w:t xml:space="preserve"> 53-611 Wrocław</w:t>
      </w:r>
    </w:p>
    <w:p w14:paraId="47C126BF" w14:textId="77777777" w:rsidR="00182069" w:rsidRPr="00A003F1" w:rsidRDefault="00182069" w:rsidP="00467061">
      <w:pPr>
        <w:autoSpaceDE w:val="0"/>
        <w:autoSpaceDN w:val="0"/>
        <w:adjustRightInd w:val="0"/>
        <w:spacing w:line="276" w:lineRule="auto"/>
        <w:ind w:left="249"/>
        <w:jc w:val="center"/>
        <w:rPr>
          <w:rFonts w:asciiTheme="minorHAnsi" w:hAnsiTheme="minorHAnsi"/>
          <w:sz w:val="22"/>
          <w:szCs w:val="22"/>
        </w:rPr>
      </w:pPr>
    </w:p>
    <w:p w14:paraId="57F84B0C" w14:textId="77777777" w:rsidR="00A107C8" w:rsidRPr="00A003F1" w:rsidRDefault="00A107C8" w:rsidP="00182069">
      <w:pPr>
        <w:pStyle w:val="Akapitzlist"/>
        <w:autoSpaceDE w:val="0"/>
        <w:ind w:firstLine="696"/>
        <w:rPr>
          <w:rFonts w:asciiTheme="minorHAnsi" w:hAnsiTheme="minorHAnsi"/>
          <w:sz w:val="22"/>
          <w:szCs w:val="22"/>
        </w:rPr>
      </w:pPr>
    </w:p>
    <w:sectPr w:rsidR="00A107C8" w:rsidRPr="00A003F1" w:rsidSect="00332395">
      <w:footerReference w:type="default" r:id="rId12"/>
      <w:headerReference w:type="first" r:id="rId13"/>
      <w:footerReference w:type="first" r:id="rId14"/>
      <w:pgSz w:w="11906" w:h="16838"/>
      <w:pgMar w:top="1417" w:right="1417" w:bottom="1417" w:left="1417" w:header="283"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3A349" w16cid:durableId="1F784B45"/>
  <w16cid:commentId w16cid:paraId="0F7C057C" w16cid:durableId="1F784B73"/>
  <w16cid:commentId w16cid:paraId="23EB10FC" w16cid:durableId="1F784B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EC236" w14:textId="77777777" w:rsidR="001A75B0" w:rsidRDefault="001A75B0" w:rsidP="00504733">
      <w:r>
        <w:separator/>
      </w:r>
    </w:p>
  </w:endnote>
  <w:endnote w:type="continuationSeparator" w:id="0">
    <w:p w14:paraId="2EC61E5A" w14:textId="77777777" w:rsidR="001A75B0" w:rsidRDefault="001A75B0"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1A8A25E2" w14:textId="77777777" w:rsidR="004871D1" w:rsidRDefault="004871D1" w:rsidP="00D51A96">
        <w:pPr>
          <w:rPr>
            <w:b/>
            <w:i/>
            <w:sz w:val="16"/>
            <w:szCs w:val="16"/>
          </w:rPr>
        </w:pPr>
      </w:p>
      <w:p w14:paraId="40DBFFF5" w14:textId="77777777" w:rsidR="004871D1" w:rsidRDefault="004871D1">
        <w:pPr>
          <w:pStyle w:val="Stopka"/>
          <w:jc w:val="right"/>
        </w:pPr>
        <w:r>
          <w:fldChar w:fldCharType="begin"/>
        </w:r>
        <w:r>
          <w:instrText>PAGE   \* MERGEFORMAT</w:instrText>
        </w:r>
        <w:r>
          <w:fldChar w:fldCharType="separate"/>
        </w:r>
        <w:r w:rsidR="003A7562">
          <w:rPr>
            <w:noProof/>
          </w:rPr>
          <w:t>11</w:t>
        </w:r>
        <w:r>
          <w:fldChar w:fldCharType="end"/>
        </w:r>
      </w:p>
    </w:sdtContent>
  </w:sdt>
  <w:p w14:paraId="52F71DF7"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AFF2" w14:textId="77777777" w:rsidR="00332395" w:rsidRPr="00C41932" w:rsidRDefault="003A7562" w:rsidP="00332395">
    <w:pPr>
      <w:jc w:val="center"/>
      <w:rPr>
        <w:rFonts w:asciiTheme="minorHAnsi" w:hAnsiTheme="minorHAnsi"/>
        <w:noProof/>
        <w:sz w:val="12"/>
        <w:szCs w:val="12"/>
      </w:rPr>
    </w:pPr>
    <w:r>
      <w:rPr>
        <w:rFonts w:asciiTheme="minorHAnsi" w:hAnsiTheme="minorHAnsi"/>
        <w:noProof/>
        <w:sz w:val="12"/>
        <w:szCs w:val="12"/>
      </w:rPr>
      <w:pict w14:anchorId="136F0557">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252C841E" wp14:editId="37D53E8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BC8C535"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14:paraId="40426A7B"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9AE5" w14:textId="77777777" w:rsidR="001A75B0" w:rsidRDefault="001A75B0" w:rsidP="00504733">
      <w:r>
        <w:separator/>
      </w:r>
    </w:p>
  </w:footnote>
  <w:footnote w:type="continuationSeparator" w:id="0">
    <w:p w14:paraId="0EB4144E" w14:textId="77777777" w:rsidR="001A75B0" w:rsidRDefault="001A75B0" w:rsidP="00504733">
      <w:r>
        <w:continuationSeparator/>
      </w:r>
    </w:p>
  </w:footnote>
  <w:footnote w:id="1">
    <w:p w14:paraId="511E1F11" w14:textId="77777777" w:rsidR="000352C3" w:rsidRPr="00341E64" w:rsidRDefault="000352C3" w:rsidP="000352C3">
      <w:pPr>
        <w:pStyle w:val="Tekstprzypisudolnego"/>
        <w:rPr>
          <w:rFonts w:asciiTheme="minorHAnsi" w:hAnsiTheme="minorHAnsi"/>
          <w:sz w:val="18"/>
          <w:szCs w:val="18"/>
        </w:rPr>
      </w:pPr>
      <w:r w:rsidRPr="00341E64">
        <w:rPr>
          <w:rStyle w:val="Odwoanieprzypisudolnego"/>
          <w:rFonts w:asciiTheme="minorHAnsi" w:hAnsiTheme="minorHAnsi"/>
          <w:sz w:val="18"/>
          <w:szCs w:val="18"/>
        </w:rPr>
        <w:footnoteRef/>
      </w:r>
      <w:r w:rsidRPr="00341E64">
        <w:rPr>
          <w:rFonts w:asciiTheme="minorHAnsi" w:hAnsiTheme="minorHAnsi"/>
          <w:sz w:val="18"/>
          <w:szCs w:val="18"/>
        </w:rPr>
        <w:t xml:space="preserve"> </w:t>
      </w:r>
      <w:r>
        <w:rPr>
          <w:rFonts w:asciiTheme="minorHAnsi" w:hAnsiTheme="minorHAnsi"/>
          <w:sz w:val="18"/>
          <w:szCs w:val="18"/>
        </w:rPr>
        <w:t>W</w:t>
      </w:r>
      <w:r w:rsidRPr="00341E64">
        <w:rPr>
          <w:rFonts w:asciiTheme="minorHAnsi" w:hAnsiTheme="minorHAnsi"/>
          <w:sz w:val="18"/>
          <w:szCs w:val="18"/>
        </w:rPr>
        <w:t xml:space="preserve"> rozumieniu ustawy</w:t>
      </w:r>
      <w:r w:rsidRPr="00341E64">
        <w:rPr>
          <w:rFonts w:asciiTheme="minorHAnsi" w:hAnsiTheme="minorHAnsi"/>
          <w:b/>
          <w:sz w:val="18"/>
          <w:szCs w:val="18"/>
        </w:rPr>
        <w:t xml:space="preserve"> </w:t>
      </w:r>
      <w:r w:rsidRPr="00341E64">
        <w:rPr>
          <w:rFonts w:asciiTheme="minorHAnsi" w:hAnsiTheme="minorHAnsi"/>
          <w:sz w:val="18"/>
          <w:szCs w:val="18"/>
        </w:rPr>
        <w:t>o odnawialnych źródłach energii.</w:t>
      </w:r>
    </w:p>
  </w:footnote>
  <w:footnote w:id="2">
    <w:p w14:paraId="0B9AA1FA" w14:textId="10A22BA3" w:rsidR="000352C3" w:rsidRPr="00954C2E" w:rsidRDefault="000352C3" w:rsidP="000352C3">
      <w:pPr>
        <w:pStyle w:val="Tekstprzypisudolnego"/>
        <w:jc w:val="both"/>
        <w:rPr>
          <w:rFonts w:asciiTheme="minorHAnsi" w:hAnsiTheme="minorHAnsi"/>
          <w:sz w:val="18"/>
          <w:szCs w:val="18"/>
        </w:rPr>
      </w:pPr>
    </w:p>
  </w:footnote>
  <w:footnote w:id="3">
    <w:p w14:paraId="46449C48" w14:textId="77777777" w:rsidR="000352C3" w:rsidRPr="00F27B7E" w:rsidRDefault="000352C3" w:rsidP="000352C3">
      <w:pPr>
        <w:pStyle w:val="Tekstprzypisudolnego"/>
        <w:shd w:val="clear" w:color="auto" w:fill="FFFFFF" w:themeFill="background1"/>
        <w:jc w:val="both"/>
        <w:rPr>
          <w:rFonts w:asciiTheme="minorHAnsi" w:hAnsiTheme="minorHAnsi"/>
          <w:sz w:val="18"/>
          <w:szCs w:val="18"/>
        </w:rPr>
      </w:pPr>
      <w:r w:rsidRPr="00F27B7E">
        <w:rPr>
          <w:rStyle w:val="Odwoanieprzypisudolnego"/>
          <w:rFonts w:asciiTheme="minorHAnsi" w:hAnsiTheme="minorHAnsi"/>
          <w:sz w:val="18"/>
          <w:szCs w:val="18"/>
        </w:rPr>
        <w:footnoteRef/>
      </w:r>
      <w:r w:rsidRPr="00F27B7E">
        <w:rPr>
          <w:rFonts w:asciiTheme="minorHAnsi" w:hAnsiTheme="minorHAnsi"/>
          <w:sz w:val="18"/>
          <w:szCs w:val="18"/>
        </w:rPr>
        <w:t xml:space="preserve"> W skład Obszaru Interwencji Doliny Baryczy wchodzą Gminy: wiejskie – Cieszków, Dobroszyce, Dziadowa Kłoda, Jemielno, Krośnice, Niechlów, Wińsko, Zawonia, oraz miejsko-wiejskie – Bierutów, Brzeg Dolny, Góra, Milicz, Międzybórz, Prusice, Syców, Twardogóra, Wąsosz, Wołów, Żmigród.</w:t>
      </w:r>
    </w:p>
  </w:footnote>
  <w:footnote w:id="4">
    <w:p w14:paraId="512C534B" w14:textId="77777777" w:rsidR="000352C3" w:rsidRPr="00F42186" w:rsidRDefault="000352C3" w:rsidP="000352C3">
      <w:pPr>
        <w:pStyle w:val="Tekstprzypisudolnego"/>
        <w:shd w:val="clear" w:color="auto" w:fill="FFFFFF" w:themeFill="background1"/>
        <w:jc w:val="both"/>
        <w:rPr>
          <w:rFonts w:asciiTheme="minorHAnsi" w:hAnsiTheme="minorHAnsi"/>
        </w:rPr>
      </w:pPr>
      <w:r w:rsidRPr="00F27B7E">
        <w:rPr>
          <w:rStyle w:val="Odwoanieprzypisudolnego"/>
          <w:rFonts w:asciiTheme="minorHAnsi" w:hAnsiTheme="minorHAnsi"/>
          <w:sz w:val="18"/>
          <w:szCs w:val="18"/>
        </w:rPr>
        <w:footnoteRef/>
      </w:r>
      <w:r w:rsidRPr="00F27B7E">
        <w:rPr>
          <w:rFonts w:asciiTheme="minorHAnsi" w:hAnsiTheme="minorHAnsi"/>
          <w:sz w:val="18"/>
          <w:szCs w:val="18"/>
        </w:rPr>
        <w:t xml:space="preserve"> W skład Obszaru Interwencji Równiny Wrocławskiej wchodzą Gminy: miejskie – Oława; wiejskie – Borów, Domaniów, Kondratowice, Jordanów Śląski, Kostomłoty, Oława, Malczyce, Mietków, Przeworno, Udanin, oraz miejsko-wiejskie – Strzelin, Środa Śląska, Wiązów</w:t>
      </w:r>
      <w:r w:rsidRPr="00F42186">
        <w:rPr>
          <w:rFonts w:asciiTheme="minorHAnsi" w:hAnsiTheme="minorHAnsi"/>
        </w:rPr>
        <w:t>.</w:t>
      </w:r>
    </w:p>
  </w:footnote>
  <w:footnote w:id="5">
    <w:p w14:paraId="1B1A51F1" w14:textId="77777777" w:rsidR="000352C3" w:rsidRPr="00A5249A" w:rsidRDefault="000352C3" w:rsidP="000352C3">
      <w:pPr>
        <w:pStyle w:val="Tekstprzypisudolnego"/>
        <w:jc w:val="both"/>
        <w:rPr>
          <w:rFonts w:asciiTheme="minorHAnsi" w:hAnsiTheme="minorHAnsi"/>
          <w:sz w:val="18"/>
          <w:szCs w:val="18"/>
        </w:rPr>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Do identyfikacji podmiotu publicznego należy stosować definicję zapisaną w ustawie z dnia 19 grudnia 2008 r. o partnerstwie publiczno-prywatnym.</w:t>
      </w:r>
    </w:p>
  </w:footnote>
  <w:footnote w:id="6">
    <w:p w14:paraId="5BC65BC6" w14:textId="77777777" w:rsidR="000352C3" w:rsidRDefault="000352C3" w:rsidP="000352C3">
      <w:pPr>
        <w:pStyle w:val="Tekstprzypisudolnego"/>
        <w:jc w:val="both"/>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W zakresie budynków użyteczności publicznej, zgodnie z definicją ujętą w Rozporządzeniu Ministra Infrastruktury z dnia </w:t>
      </w:r>
      <w:r>
        <w:rPr>
          <w:rFonts w:asciiTheme="minorHAnsi" w:hAnsiTheme="minorHAnsi"/>
          <w:sz w:val="18"/>
          <w:szCs w:val="18"/>
        </w:rPr>
        <w:br/>
      </w:r>
      <w:r w:rsidRPr="00A5249A">
        <w:rPr>
          <w:rFonts w:asciiTheme="minorHAnsi" w:hAnsiTheme="minorHAnsi"/>
          <w:sz w:val="18"/>
          <w:szCs w:val="18"/>
        </w:rPr>
        <w:t>12 kwietnia 2002 r. w sprawie warunków technicznych, jakim powinny odpowiadać budynki i ich usytuowanie (</w:t>
      </w:r>
      <w:r w:rsidRPr="00A5249A">
        <w:rPr>
          <w:rFonts w:asciiTheme="minorHAnsi" w:hAnsiTheme="minorHAnsi" w:cs="Arial"/>
          <w:bCs/>
          <w:sz w:val="18"/>
          <w:szCs w:val="18"/>
        </w:rPr>
        <w:t>tj. Dz.U. 2015, poz. 1422</w:t>
      </w:r>
      <w:r w:rsidRPr="00A5249A">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9F166"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706FEEFF" wp14:editId="1130AD24">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7E83B0"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698EC22A" w14:textId="77777777" w:rsidR="00D51A96" w:rsidRDefault="003A7562"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24BBAD2F"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07C37"/>
    <w:multiLevelType w:val="hybridMultilevel"/>
    <w:tmpl w:val="015C82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31306"/>
    <w:multiLevelType w:val="hybridMultilevel"/>
    <w:tmpl w:val="64D84D14"/>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 w15:restartNumberingAfterBreak="0">
    <w:nsid w:val="11274931"/>
    <w:multiLevelType w:val="hybridMultilevel"/>
    <w:tmpl w:val="4740C2D0"/>
    <w:lvl w:ilvl="0" w:tplc="34340866">
      <w:start w:val="1"/>
      <w:numFmt w:val="decimal"/>
      <w:lvlText w:val="%1."/>
      <w:lvlJc w:val="left"/>
      <w:pPr>
        <w:ind w:left="720" w:hanging="360"/>
      </w:pPr>
    </w:lvl>
    <w:lvl w:ilvl="1" w:tplc="BEF8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6" w15:restartNumberingAfterBreak="0">
    <w:nsid w:val="1CFE79EF"/>
    <w:multiLevelType w:val="hybridMultilevel"/>
    <w:tmpl w:val="9C8E9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15:restartNumberingAfterBreak="0">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4"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6C66C2B"/>
    <w:multiLevelType w:val="hybridMultilevel"/>
    <w:tmpl w:val="0848352A"/>
    <w:lvl w:ilvl="0" w:tplc="DA04620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A37819"/>
    <w:multiLevelType w:val="hybridMultilevel"/>
    <w:tmpl w:val="ACA27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B42B8A"/>
    <w:multiLevelType w:val="hybridMultilevel"/>
    <w:tmpl w:val="D012DACE"/>
    <w:lvl w:ilvl="0" w:tplc="8BA820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4213340"/>
    <w:multiLevelType w:val="hybridMultilevel"/>
    <w:tmpl w:val="3260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 w15:restartNumberingAfterBreak="0">
    <w:nsid w:val="5C75358A"/>
    <w:multiLevelType w:val="hybridMultilevel"/>
    <w:tmpl w:val="8124BE50"/>
    <w:lvl w:ilvl="0" w:tplc="04150001">
      <w:start w:val="1"/>
      <w:numFmt w:val="bullet"/>
      <w:lvlText w:val=""/>
      <w:lvlJc w:val="left"/>
      <w:pPr>
        <w:ind w:left="720" w:hanging="360"/>
      </w:pPr>
      <w:rPr>
        <w:rFonts w:ascii="Symbol" w:hAnsi="Symbol" w:hint="default"/>
      </w:rPr>
    </w:lvl>
    <w:lvl w:ilvl="1" w:tplc="3EFEED1A">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22" w15:restartNumberingAfterBreak="0">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731B7F"/>
    <w:multiLevelType w:val="hybridMultilevel"/>
    <w:tmpl w:val="1C3EBA2C"/>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BC529E"/>
    <w:multiLevelType w:val="hybridMultilevel"/>
    <w:tmpl w:val="62AA8440"/>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28"/>
  </w:num>
  <w:num w:numId="3">
    <w:abstractNumId w:val="21"/>
  </w:num>
  <w:num w:numId="4">
    <w:abstractNumId w:val="29"/>
  </w:num>
  <w:num w:numId="5">
    <w:abstractNumId w:val="23"/>
  </w:num>
  <w:num w:numId="6">
    <w:abstractNumId w:val="16"/>
  </w:num>
  <w:num w:numId="7">
    <w:abstractNumId w:val="17"/>
  </w:num>
  <w:num w:numId="8">
    <w:abstractNumId w:val="9"/>
  </w:num>
  <w:num w:numId="9">
    <w:abstractNumId w:val="11"/>
  </w:num>
  <w:num w:numId="10">
    <w:abstractNumId w:val="13"/>
  </w:num>
  <w:num w:numId="11">
    <w:abstractNumId w:val="7"/>
  </w:num>
  <w:num w:numId="12">
    <w:abstractNumId w:val="22"/>
  </w:num>
  <w:num w:numId="13">
    <w:abstractNumId w:val="3"/>
  </w:num>
  <w:num w:numId="14">
    <w:abstractNumId w:val="19"/>
  </w:num>
  <w:num w:numId="15">
    <w:abstractNumId w:val="1"/>
  </w:num>
  <w:num w:numId="16">
    <w:abstractNumId w:val="14"/>
  </w:num>
  <w:num w:numId="17">
    <w:abstractNumId w:val="5"/>
  </w:num>
  <w:num w:numId="18">
    <w:abstractNumId w:val="15"/>
  </w:num>
  <w:num w:numId="19">
    <w:abstractNumId w:val="24"/>
  </w:num>
  <w:num w:numId="20">
    <w:abstractNumId w:val="6"/>
  </w:num>
  <w:num w:numId="21">
    <w:abstractNumId w:val="20"/>
  </w:num>
  <w:num w:numId="22">
    <w:abstractNumId w:val="2"/>
  </w:num>
  <w:num w:numId="23">
    <w:abstractNumId w:val="26"/>
  </w:num>
  <w:num w:numId="24">
    <w:abstractNumId w:val="25"/>
  </w:num>
  <w:num w:numId="25">
    <w:abstractNumId w:val="8"/>
  </w:num>
  <w:num w:numId="26">
    <w:abstractNumId w:val="12"/>
  </w:num>
  <w:num w:numId="27">
    <w:abstractNumId w:val="18"/>
  </w:num>
  <w:num w:numId="28">
    <w:abstractNumId w:val="27"/>
  </w:num>
  <w:num w:numId="29">
    <w:abstractNumId w:val="10"/>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520D"/>
    <w:rsid w:val="0003085E"/>
    <w:rsid w:val="00033B29"/>
    <w:rsid w:val="000352C3"/>
    <w:rsid w:val="0003684A"/>
    <w:rsid w:val="0004579F"/>
    <w:rsid w:val="000473F8"/>
    <w:rsid w:val="0005416D"/>
    <w:rsid w:val="00054C47"/>
    <w:rsid w:val="00066E69"/>
    <w:rsid w:val="00076494"/>
    <w:rsid w:val="00084B6A"/>
    <w:rsid w:val="0008748E"/>
    <w:rsid w:val="0009135C"/>
    <w:rsid w:val="000A1E1A"/>
    <w:rsid w:val="000A326A"/>
    <w:rsid w:val="000A5D5A"/>
    <w:rsid w:val="000D0C22"/>
    <w:rsid w:val="000D464F"/>
    <w:rsid w:val="000D689C"/>
    <w:rsid w:val="000F6DEC"/>
    <w:rsid w:val="000F73C9"/>
    <w:rsid w:val="0010179F"/>
    <w:rsid w:val="0010181A"/>
    <w:rsid w:val="00101A1C"/>
    <w:rsid w:val="00102195"/>
    <w:rsid w:val="0010229F"/>
    <w:rsid w:val="00116604"/>
    <w:rsid w:val="00117BFA"/>
    <w:rsid w:val="00123D9A"/>
    <w:rsid w:val="001244D7"/>
    <w:rsid w:val="00133BB6"/>
    <w:rsid w:val="00146ED1"/>
    <w:rsid w:val="001523E0"/>
    <w:rsid w:val="00152564"/>
    <w:rsid w:val="001542EA"/>
    <w:rsid w:val="00160825"/>
    <w:rsid w:val="0016385B"/>
    <w:rsid w:val="00166C7C"/>
    <w:rsid w:val="0017467E"/>
    <w:rsid w:val="00180C17"/>
    <w:rsid w:val="00182069"/>
    <w:rsid w:val="00182D48"/>
    <w:rsid w:val="00185F76"/>
    <w:rsid w:val="001A0440"/>
    <w:rsid w:val="001A75B0"/>
    <w:rsid w:val="001B1FE8"/>
    <w:rsid w:val="001B3949"/>
    <w:rsid w:val="001C38A5"/>
    <w:rsid w:val="001C40F3"/>
    <w:rsid w:val="001C499A"/>
    <w:rsid w:val="001D2321"/>
    <w:rsid w:val="001D252F"/>
    <w:rsid w:val="001D3898"/>
    <w:rsid w:val="001D5E0D"/>
    <w:rsid w:val="001D6F01"/>
    <w:rsid w:val="001F4C80"/>
    <w:rsid w:val="00216533"/>
    <w:rsid w:val="00217052"/>
    <w:rsid w:val="00220095"/>
    <w:rsid w:val="00220D56"/>
    <w:rsid w:val="00222036"/>
    <w:rsid w:val="00222A6F"/>
    <w:rsid w:val="002234F2"/>
    <w:rsid w:val="00224DF4"/>
    <w:rsid w:val="00232C6B"/>
    <w:rsid w:val="00236B5E"/>
    <w:rsid w:val="0024009B"/>
    <w:rsid w:val="00257F57"/>
    <w:rsid w:val="00260F26"/>
    <w:rsid w:val="00261D75"/>
    <w:rsid w:val="00262637"/>
    <w:rsid w:val="00271DF3"/>
    <w:rsid w:val="002749B9"/>
    <w:rsid w:val="00275B71"/>
    <w:rsid w:val="0028379C"/>
    <w:rsid w:val="00284F26"/>
    <w:rsid w:val="00286FD3"/>
    <w:rsid w:val="002876B4"/>
    <w:rsid w:val="002902B4"/>
    <w:rsid w:val="0029497F"/>
    <w:rsid w:val="00295232"/>
    <w:rsid w:val="002A0E2C"/>
    <w:rsid w:val="002A78EB"/>
    <w:rsid w:val="002B262C"/>
    <w:rsid w:val="002B3D05"/>
    <w:rsid w:val="002B6168"/>
    <w:rsid w:val="002C2705"/>
    <w:rsid w:val="002D3662"/>
    <w:rsid w:val="002D5143"/>
    <w:rsid w:val="002E61D6"/>
    <w:rsid w:val="002F18AC"/>
    <w:rsid w:val="002F4909"/>
    <w:rsid w:val="002F6965"/>
    <w:rsid w:val="00305CD6"/>
    <w:rsid w:val="00307DAA"/>
    <w:rsid w:val="00315E75"/>
    <w:rsid w:val="00332395"/>
    <w:rsid w:val="00334F91"/>
    <w:rsid w:val="00337028"/>
    <w:rsid w:val="00340761"/>
    <w:rsid w:val="00343F7E"/>
    <w:rsid w:val="003477AF"/>
    <w:rsid w:val="0035448D"/>
    <w:rsid w:val="00355AC0"/>
    <w:rsid w:val="00360D9E"/>
    <w:rsid w:val="0036523A"/>
    <w:rsid w:val="00367301"/>
    <w:rsid w:val="0037034D"/>
    <w:rsid w:val="00371D52"/>
    <w:rsid w:val="003757DE"/>
    <w:rsid w:val="00380F79"/>
    <w:rsid w:val="0038183E"/>
    <w:rsid w:val="003826BF"/>
    <w:rsid w:val="00385EAB"/>
    <w:rsid w:val="003A1089"/>
    <w:rsid w:val="003A1BF8"/>
    <w:rsid w:val="003A4572"/>
    <w:rsid w:val="003A7562"/>
    <w:rsid w:val="003B0A31"/>
    <w:rsid w:val="003B164B"/>
    <w:rsid w:val="003B5E3A"/>
    <w:rsid w:val="003B6F9D"/>
    <w:rsid w:val="003C22B1"/>
    <w:rsid w:val="003C2BBD"/>
    <w:rsid w:val="003C2DCB"/>
    <w:rsid w:val="003C78F5"/>
    <w:rsid w:val="003D36DD"/>
    <w:rsid w:val="003E2C15"/>
    <w:rsid w:val="00403692"/>
    <w:rsid w:val="00407786"/>
    <w:rsid w:val="00415EBE"/>
    <w:rsid w:val="00424780"/>
    <w:rsid w:val="00425D18"/>
    <w:rsid w:val="004366D2"/>
    <w:rsid w:val="00436F1C"/>
    <w:rsid w:val="00437671"/>
    <w:rsid w:val="00440B2D"/>
    <w:rsid w:val="00445197"/>
    <w:rsid w:val="004511A4"/>
    <w:rsid w:val="00460025"/>
    <w:rsid w:val="00465E67"/>
    <w:rsid w:val="00467061"/>
    <w:rsid w:val="00467F33"/>
    <w:rsid w:val="00471FFB"/>
    <w:rsid w:val="00475439"/>
    <w:rsid w:val="004831AA"/>
    <w:rsid w:val="004871D1"/>
    <w:rsid w:val="00487697"/>
    <w:rsid w:val="00487CF3"/>
    <w:rsid w:val="004A07E5"/>
    <w:rsid w:val="004A546E"/>
    <w:rsid w:val="004B2E64"/>
    <w:rsid w:val="004B5CDD"/>
    <w:rsid w:val="004D221E"/>
    <w:rsid w:val="004D78E4"/>
    <w:rsid w:val="004E24FB"/>
    <w:rsid w:val="004E3C7C"/>
    <w:rsid w:val="004E79DC"/>
    <w:rsid w:val="00504733"/>
    <w:rsid w:val="00504963"/>
    <w:rsid w:val="00507828"/>
    <w:rsid w:val="0051092B"/>
    <w:rsid w:val="00515CC9"/>
    <w:rsid w:val="00526943"/>
    <w:rsid w:val="00532CB6"/>
    <w:rsid w:val="00542F3E"/>
    <w:rsid w:val="00546ED5"/>
    <w:rsid w:val="00547B13"/>
    <w:rsid w:val="00547FC0"/>
    <w:rsid w:val="00556277"/>
    <w:rsid w:val="00561D50"/>
    <w:rsid w:val="00567407"/>
    <w:rsid w:val="00582676"/>
    <w:rsid w:val="00583E36"/>
    <w:rsid w:val="0058526C"/>
    <w:rsid w:val="0058659B"/>
    <w:rsid w:val="00590456"/>
    <w:rsid w:val="005A04DF"/>
    <w:rsid w:val="005A15D1"/>
    <w:rsid w:val="005A38CC"/>
    <w:rsid w:val="005B2FA0"/>
    <w:rsid w:val="005B4F38"/>
    <w:rsid w:val="005B7A7D"/>
    <w:rsid w:val="005C14DC"/>
    <w:rsid w:val="005C2EB2"/>
    <w:rsid w:val="005D0E00"/>
    <w:rsid w:val="005E13D0"/>
    <w:rsid w:val="005E1E21"/>
    <w:rsid w:val="005E5134"/>
    <w:rsid w:val="005F0B4C"/>
    <w:rsid w:val="005F36A4"/>
    <w:rsid w:val="00611F0C"/>
    <w:rsid w:val="006126B9"/>
    <w:rsid w:val="00612EFC"/>
    <w:rsid w:val="00623559"/>
    <w:rsid w:val="00623B2B"/>
    <w:rsid w:val="00630C48"/>
    <w:rsid w:val="00630CF0"/>
    <w:rsid w:val="006425F6"/>
    <w:rsid w:val="0066090C"/>
    <w:rsid w:val="00667288"/>
    <w:rsid w:val="006755EB"/>
    <w:rsid w:val="006778A8"/>
    <w:rsid w:val="00681F39"/>
    <w:rsid w:val="0068731C"/>
    <w:rsid w:val="00695F42"/>
    <w:rsid w:val="00696159"/>
    <w:rsid w:val="006A2F59"/>
    <w:rsid w:val="006A769E"/>
    <w:rsid w:val="006B2259"/>
    <w:rsid w:val="006B540D"/>
    <w:rsid w:val="006B595B"/>
    <w:rsid w:val="006C1549"/>
    <w:rsid w:val="006D1F89"/>
    <w:rsid w:val="006E6E20"/>
    <w:rsid w:val="006F0510"/>
    <w:rsid w:val="007015AC"/>
    <w:rsid w:val="0070200D"/>
    <w:rsid w:val="0070474A"/>
    <w:rsid w:val="007200E8"/>
    <w:rsid w:val="007244DE"/>
    <w:rsid w:val="007251B3"/>
    <w:rsid w:val="00726F2D"/>
    <w:rsid w:val="00733B21"/>
    <w:rsid w:val="00735E6F"/>
    <w:rsid w:val="007368AC"/>
    <w:rsid w:val="007409A3"/>
    <w:rsid w:val="00743218"/>
    <w:rsid w:val="0075060B"/>
    <w:rsid w:val="00750ECD"/>
    <w:rsid w:val="0075170C"/>
    <w:rsid w:val="00751FA5"/>
    <w:rsid w:val="007608C3"/>
    <w:rsid w:val="007611DA"/>
    <w:rsid w:val="00761990"/>
    <w:rsid w:val="00764288"/>
    <w:rsid w:val="007717D5"/>
    <w:rsid w:val="0077232B"/>
    <w:rsid w:val="00787F0C"/>
    <w:rsid w:val="00793877"/>
    <w:rsid w:val="007A0BD4"/>
    <w:rsid w:val="007A37AF"/>
    <w:rsid w:val="007B1C85"/>
    <w:rsid w:val="007B2B6D"/>
    <w:rsid w:val="007C0811"/>
    <w:rsid w:val="007C476F"/>
    <w:rsid w:val="007C4C83"/>
    <w:rsid w:val="007D1785"/>
    <w:rsid w:val="007D4992"/>
    <w:rsid w:val="007D53AB"/>
    <w:rsid w:val="007E759F"/>
    <w:rsid w:val="007F4E36"/>
    <w:rsid w:val="007F6B0E"/>
    <w:rsid w:val="00806F11"/>
    <w:rsid w:val="0081210F"/>
    <w:rsid w:val="00814DB5"/>
    <w:rsid w:val="00815AFC"/>
    <w:rsid w:val="008171B8"/>
    <w:rsid w:val="0082431F"/>
    <w:rsid w:val="008265CB"/>
    <w:rsid w:val="00846BA2"/>
    <w:rsid w:val="00852723"/>
    <w:rsid w:val="0086423F"/>
    <w:rsid w:val="00867C94"/>
    <w:rsid w:val="0087190B"/>
    <w:rsid w:val="00875C86"/>
    <w:rsid w:val="008817CC"/>
    <w:rsid w:val="008828C1"/>
    <w:rsid w:val="0088335F"/>
    <w:rsid w:val="00885371"/>
    <w:rsid w:val="008A4588"/>
    <w:rsid w:val="008A4DE3"/>
    <w:rsid w:val="008A5F61"/>
    <w:rsid w:val="008B35F5"/>
    <w:rsid w:val="008C10FD"/>
    <w:rsid w:val="008C6141"/>
    <w:rsid w:val="008D03D2"/>
    <w:rsid w:val="008D23AC"/>
    <w:rsid w:val="008D33AC"/>
    <w:rsid w:val="008E21A7"/>
    <w:rsid w:val="008E3780"/>
    <w:rsid w:val="008E3F5A"/>
    <w:rsid w:val="008E5A15"/>
    <w:rsid w:val="008F4537"/>
    <w:rsid w:val="009031A9"/>
    <w:rsid w:val="009052F2"/>
    <w:rsid w:val="009063F5"/>
    <w:rsid w:val="009201E8"/>
    <w:rsid w:val="0092281C"/>
    <w:rsid w:val="0092378A"/>
    <w:rsid w:val="00923871"/>
    <w:rsid w:val="00923B2F"/>
    <w:rsid w:val="009240DB"/>
    <w:rsid w:val="00932830"/>
    <w:rsid w:val="009410CC"/>
    <w:rsid w:val="009411E0"/>
    <w:rsid w:val="0095183B"/>
    <w:rsid w:val="00952110"/>
    <w:rsid w:val="00957A15"/>
    <w:rsid w:val="009612C3"/>
    <w:rsid w:val="009626F7"/>
    <w:rsid w:val="009639CB"/>
    <w:rsid w:val="00983038"/>
    <w:rsid w:val="00987CDF"/>
    <w:rsid w:val="0099049C"/>
    <w:rsid w:val="00992331"/>
    <w:rsid w:val="0099394D"/>
    <w:rsid w:val="00994D84"/>
    <w:rsid w:val="00994E3C"/>
    <w:rsid w:val="00994EC1"/>
    <w:rsid w:val="00997E40"/>
    <w:rsid w:val="009A1F18"/>
    <w:rsid w:val="009B18B7"/>
    <w:rsid w:val="009B79DD"/>
    <w:rsid w:val="009C4473"/>
    <w:rsid w:val="009C5C20"/>
    <w:rsid w:val="009D2B53"/>
    <w:rsid w:val="009D2CCE"/>
    <w:rsid w:val="009D3A77"/>
    <w:rsid w:val="009D5422"/>
    <w:rsid w:val="009D6C6D"/>
    <w:rsid w:val="009E724E"/>
    <w:rsid w:val="009E7EBF"/>
    <w:rsid w:val="00A003F1"/>
    <w:rsid w:val="00A07EC7"/>
    <w:rsid w:val="00A107C8"/>
    <w:rsid w:val="00A21945"/>
    <w:rsid w:val="00A23448"/>
    <w:rsid w:val="00A26FC5"/>
    <w:rsid w:val="00A32E30"/>
    <w:rsid w:val="00A408F3"/>
    <w:rsid w:val="00A51241"/>
    <w:rsid w:val="00A54547"/>
    <w:rsid w:val="00A6044C"/>
    <w:rsid w:val="00A76E7A"/>
    <w:rsid w:val="00AA3C32"/>
    <w:rsid w:val="00AA6DE1"/>
    <w:rsid w:val="00AB0510"/>
    <w:rsid w:val="00AB4CA9"/>
    <w:rsid w:val="00AC0566"/>
    <w:rsid w:val="00AC2A4E"/>
    <w:rsid w:val="00AC5327"/>
    <w:rsid w:val="00AC71D6"/>
    <w:rsid w:val="00AE083C"/>
    <w:rsid w:val="00AE2FC9"/>
    <w:rsid w:val="00AE7B30"/>
    <w:rsid w:val="00AF1104"/>
    <w:rsid w:val="00AF33F0"/>
    <w:rsid w:val="00AF46F1"/>
    <w:rsid w:val="00B023DF"/>
    <w:rsid w:val="00B07915"/>
    <w:rsid w:val="00B16859"/>
    <w:rsid w:val="00B173B3"/>
    <w:rsid w:val="00B250B0"/>
    <w:rsid w:val="00B3579F"/>
    <w:rsid w:val="00B41D7C"/>
    <w:rsid w:val="00B44DBD"/>
    <w:rsid w:val="00B463E3"/>
    <w:rsid w:val="00B53822"/>
    <w:rsid w:val="00B6654C"/>
    <w:rsid w:val="00B67828"/>
    <w:rsid w:val="00B7057E"/>
    <w:rsid w:val="00B72367"/>
    <w:rsid w:val="00B724D8"/>
    <w:rsid w:val="00B755AA"/>
    <w:rsid w:val="00B80651"/>
    <w:rsid w:val="00B83CEB"/>
    <w:rsid w:val="00B84B12"/>
    <w:rsid w:val="00B923DE"/>
    <w:rsid w:val="00B93AE5"/>
    <w:rsid w:val="00BA36C9"/>
    <w:rsid w:val="00BB1B30"/>
    <w:rsid w:val="00BC07EA"/>
    <w:rsid w:val="00BC08E6"/>
    <w:rsid w:val="00BC17B6"/>
    <w:rsid w:val="00BC5870"/>
    <w:rsid w:val="00BC649F"/>
    <w:rsid w:val="00BD078A"/>
    <w:rsid w:val="00BD3AA7"/>
    <w:rsid w:val="00BE6346"/>
    <w:rsid w:val="00BF11CA"/>
    <w:rsid w:val="00BF17CD"/>
    <w:rsid w:val="00BF7AC6"/>
    <w:rsid w:val="00C040EC"/>
    <w:rsid w:val="00C12289"/>
    <w:rsid w:val="00C17C90"/>
    <w:rsid w:val="00C21D92"/>
    <w:rsid w:val="00C25781"/>
    <w:rsid w:val="00C25F0D"/>
    <w:rsid w:val="00C26225"/>
    <w:rsid w:val="00C332B3"/>
    <w:rsid w:val="00C35581"/>
    <w:rsid w:val="00C44B61"/>
    <w:rsid w:val="00C67277"/>
    <w:rsid w:val="00C70180"/>
    <w:rsid w:val="00C72F42"/>
    <w:rsid w:val="00C73A61"/>
    <w:rsid w:val="00C75CFF"/>
    <w:rsid w:val="00C81D7E"/>
    <w:rsid w:val="00C82D4B"/>
    <w:rsid w:val="00C8416B"/>
    <w:rsid w:val="00C86EFB"/>
    <w:rsid w:val="00CA4B89"/>
    <w:rsid w:val="00CA7C36"/>
    <w:rsid w:val="00CB0320"/>
    <w:rsid w:val="00CB159F"/>
    <w:rsid w:val="00CB67B7"/>
    <w:rsid w:val="00CB6B4C"/>
    <w:rsid w:val="00CB7CC7"/>
    <w:rsid w:val="00CC00E6"/>
    <w:rsid w:val="00CC76A8"/>
    <w:rsid w:val="00CD4FB4"/>
    <w:rsid w:val="00CD7932"/>
    <w:rsid w:val="00CE03AA"/>
    <w:rsid w:val="00CE422A"/>
    <w:rsid w:val="00CE5427"/>
    <w:rsid w:val="00CE6213"/>
    <w:rsid w:val="00CE6C10"/>
    <w:rsid w:val="00CF0773"/>
    <w:rsid w:val="00CF3AF1"/>
    <w:rsid w:val="00CF4289"/>
    <w:rsid w:val="00CF4508"/>
    <w:rsid w:val="00CF7B15"/>
    <w:rsid w:val="00D12458"/>
    <w:rsid w:val="00D13525"/>
    <w:rsid w:val="00D24D5F"/>
    <w:rsid w:val="00D3244D"/>
    <w:rsid w:val="00D35622"/>
    <w:rsid w:val="00D43546"/>
    <w:rsid w:val="00D46486"/>
    <w:rsid w:val="00D51122"/>
    <w:rsid w:val="00D51A96"/>
    <w:rsid w:val="00D51D2F"/>
    <w:rsid w:val="00D5498F"/>
    <w:rsid w:val="00D61C2A"/>
    <w:rsid w:val="00D65864"/>
    <w:rsid w:val="00D670FD"/>
    <w:rsid w:val="00D72FF0"/>
    <w:rsid w:val="00D7747A"/>
    <w:rsid w:val="00D81CC2"/>
    <w:rsid w:val="00D85444"/>
    <w:rsid w:val="00D8563F"/>
    <w:rsid w:val="00D926A3"/>
    <w:rsid w:val="00D9562B"/>
    <w:rsid w:val="00D961D9"/>
    <w:rsid w:val="00DB0266"/>
    <w:rsid w:val="00DB1877"/>
    <w:rsid w:val="00DB2A24"/>
    <w:rsid w:val="00DB7B87"/>
    <w:rsid w:val="00DC32F2"/>
    <w:rsid w:val="00DC40CF"/>
    <w:rsid w:val="00DD25EC"/>
    <w:rsid w:val="00DE502D"/>
    <w:rsid w:val="00DF6C5D"/>
    <w:rsid w:val="00E01B96"/>
    <w:rsid w:val="00E023F8"/>
    <w:rsid w:val="00E02835"/>
    <w:rsid w:val="00E05256"/>
    <w:rsid w:val="00E131E3"/>
    <w:rsid w:val="00E1368E"/>
    <w:rsid w:val="00E25284"/>
    <w:rsid w:val="00E26377"/>
    <w:rsid w:val="00E334DD"/>
    <w:rsid w:val="00E35EF8"/>
    <w:rsid w:val="00E372FC"/>
    <w:rsid w:val="00E40D85"/>
    <w:rsid w:val="00E52279"/>
    <w:rsid w:val="00E52FD5"/>
    <w:rsid w:val="00E61E24"/>
    <w:rsid w:val="00E62E56"/>
    <w:rsid w:val="00E64746"/>
    <w:rsid w:val="00E6583B"/>
    <w:rsid w:val="00E71A85"/>
    <w:rsid w:val="00E76A60"/>
    <w:rsid w:val="00E91ACA"/>
    <w:rsid w:val="00EA1F02"/>
    <w:rsid w:val="00EA7824"/>
    <w:rsid w:val="00EB49E2"/>
    <w:rsid w:val="00EC4D43"/>
    <w:rsid w:val="00EC53CF"/>
    <w:rsid w:val="00ED4DCE"/>
    <w:rsid w:val="00ED5CDD"/>
    <w:rsid w:val="00EF0D01"/>
    <w:rsid w:val="00EF3EC9"/>
    <w:rsid w:val="00EF7DE4"/>
    <w:rsid w:val="00F1283E"/>
    <w:rsid w:val="00F16337"/>
    <w:rsid w:val="00F21E39"/>
    <w:rsid w:val="00F26113"/>
    <w:rsid w:val="00F26DE6"/>
    <w:rsid w:val="00F2790E"/>
    <w:rsid w:val="00F3128B"/>
    <w:rsid w:val="00F40EF6"/>
    <w:rsid w:val="00F40FDC"/>
    <w:rsid w:val="00F43CE5"/>
    <w:rsid w:val="00F47ABA"/>
    <w:rsid w:val="00F52653"/>
    <w:rsid w:val="00F533B6"/>
    <w:rsid w:val="00F57B69"/>
    <w:rsid w:val="00F63E02"/>
    <w:rsid w:val="00F7382E"/>
    <w:rsid w:val="00F75259"/>
    <w:rsid w:val="00F757A4"/>
    <w:rsid w:val="00F80845"/>
    <w:rsid w:val="00F85B4F"/>
    <w:rsid w:val="00F91849"/>
    <w:rsid w:val="00FA454A"/>
    <w:rsid w:val="00FA63D7"/>
    <w:rsid w:val="00FA7A2C"/>
    <w:rsid w:val="00FB046E"/>
    <w:rsid w:val="00FB0679"/>
    <w:rsid w:val="00FB3C0A"/>
    <w:rsid w:val="00FB6979"/>
    <w:rsid w:val="00FB7172"/>
    <w:rsid w:val="00FD204A"/>
    <w:rsid w:val="00FE5F82"/>
    <w:rsid w:val="00FF3197"/>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58DB2395"/>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Nagwek1Znak">
    <w:name w:val="Nagłówek 1 Znak"/>
    <w:basedOn w:val="Domylnaczcionkaakapitu"/>
    <w:link w:val="Nagwek1"/>
    <w:uiPriority w:val="9"/>
    <w:rsid w:val="00FF31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 w:id="181876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ip@umw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B85C-A602-48A8-8B5C-A3CA53B9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4051</Words>
  <Characters>24307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Hetnar-Mikołajczyk</cp:lastModifiedBy>
  <cp:revision>28</cp:revision>
  <cp:lastPrinted>2018-04-19T12:56:00Z</cp:lastPrinted>
  <dcterms:created xsi:type="dcterms:W3CDTF">2018-10-22T10:07:00Z</dcterms:created>
  <dcterms:modified xsi:type="dcterms:W3CDTF">2019-03-18T11:19:00Z</dcterms:modified>
</cp:coreProperties>
</file>