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F3F2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4B7D4B08" wp14:editId="20B44561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907985" w14:textId="41D26FE6" w:rsidR="00BA12A0" w:rsidRDefault="00B71741" w:rsidP="00BA12A0">
      <w:pPr>
        <w:rPr>
          <w:sz w:val="20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 xml:space="preserve">z </w:t>
      </w:r>
      <w:r w:rsidR="00FB349E">
        <w:rPr>
          <w:sz w:val="20"/>
        </w:rPr>
        <w:t>dn.</w:t>
      </w:r>
      <w:r w:rsidR="00D20BDF">
        <w:rPr>
          <w:sz w:val="20"/>
        </w:rPr>
        <w:t xml:space="preserve"> </w:t>
      </w:r>
      <w:r w:rsidR="001B54F7">
        <w:rPr>
          <w:sz w:val="20"/>
        </w:rPr>
        <w:t>30 stycznia 2023 r.</w:t>
      </w:r>
    </w:p>
    <w:p w14:paraId="42E051F2" w14:textId="0092C135" w:rsidR="00167871" w:rsidRDefault="00167871" w:rsidP="00167871">
      <w:pPr>
        <w:rPr>
          <w:sz w:val="20"/>
        </w:rPr>
      </w:pPr>
    </w:p>
    <w:p w14:paraId="32B4923F" w14:textId="77777777" w:rsidR="00B71741" w:rsidRPr="009F303C" w:rsidRDefault="00B71741" w:rsidP="003A46BC">
      <w:pPr>
        <w:rPr>
          <w:rFonts w:cs="Arial"/>
          <w:sz w:val="24"/>
          <w:szCs w:val="20"/>
          <w:lang w:eastAsia="en-US"/>
        </w:rPr>
      </w:pPr>
    </w:p>
    <w:p w14:paraId="545B52DA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4E86587A" w14:textId="77777777" w:rsidR="00BA376B" w:rsidRPr="00DD0783" w:rsidRDefault="00BA376B" w:rsidP="00C10F6C">
      <w:pPr>
        <w:spacing w:line="240" w:lineRule="auto"/>
        <w:jc w:val="both"/>
      </w:pPr>
    </w:p>
    <w:p w14:paraId="12FD0DA6" w14:textId="77777777" w:rsidR="00BA376B" w:rsidRPr="00DD0783" w:rsidRDefault="00BA376B" w:rsidP="00C10F6C">
      <w:pPr>
        <w:spacing w:line="240" w:lineRule="auto"/>
        <w:jc w:val="both"/>
      </w:pPr>
    </w:p>
    <w:p w14:paraId="11015E2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7C864852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691748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530AA9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70E8375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0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1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0"/>
      <w:bookmarkEnd w:id="1"/>
    </w:p>
    <w:p w14:paraId="12D5F65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5587BD1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1E92BF58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7EC3523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635A0C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7265F74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4CCCBB8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5432EB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5D64FCCC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06430CC8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554E12F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F3B9F46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1D5A03B8" w14:textId="77777777"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14:paraId="214D61AB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30A89CF6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B16685">
        <w:rPr>
          <w:rFonts w:asciiTheme="minorHAnsi" w:hAnsiTheme="minorHAnsi"/>
          <w:b/>
          <w:bCs/>
          <w:sz w:val="22"/>
          <w:szCs w:val="22"/>
        </w:rPr>
        <w:t>F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</w:t>
      </w:r>
      <w:r w:rsidR="00B16685">
        <w:rPr>
          <w:rFonts w:asciiTheme="minorHAnsi" w:hAnsiTheme="minorHAnsi"/>
          <w:b/>
          <w:bCs/>
          <w:sz w:val="22"/>
          <w:szCs w:val="22"/>
        </w:rPr>
        <w:t>P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B16685">
        <w:rPr>
          <w:rFonts w:asciiTheme="minorHAnsi" w:hAnsiTheme="minorHAnsi"/>
          <w:sz w:val="22"/>
          <w:szCs w:val="22"/>
        </w:rPr>
        <w:t xml:space="preserve">Funduszy i Polityki Regionalnej 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4F9A59EA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6F7849F6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74BA480B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296ABA92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7E842E27" w14:textId="77777777"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14:paraId="2FEB9A6F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C906F5C" w14:textId="77777777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4C0D10DC" w14:textId="77777777"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14:paraId="2C4CAC41" w14:textId="77777777"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14:paraId="1478F569" w14:textId="77777777" w:rsidR="000906B8" w:rsidRPr="00DD0783" w:rsidRDefault="00394D81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14:paraId="79362F1D" w14:textId="39740302" w:rsidR="00ED73D9" w:rsidRDefault="00394D81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 xml:space="preserve">) </w:t>
      </w:r>
      <w:r w:rsidR="00FE7CCE">
        <w:rPr>
          <w:rFonts w:asciiTheme="minorHAnsi" w:hAnsiTheme="minorHAnsi"/>
          <w:sz w:val="22"/>
          <w:szCs w:val="22"/>
        </w:rPr>
        <w:t>r</w:t>
      </w:r>
      <w:r w:rsidR="00FE7CCE" w:rsidRPr="00FE7CCE">
        <w:rPr>
          <w:rFonts w:asciiTheme="minorHAnsi" w:hAnsiTheme="minorHAnsi"/>
          <w:sz w:val="22"/>
          <w:szCs w:val="22"/>
        </w:rPr>
        <w:t>ozporządzenie</w:t>
      </w:r>
      <w:r w:rsidR="00FE7CCE">
        <w:rPr>
          <w:rFonts w:asciiTheme="minorHAnsi" w:hAnsiTheme="minorHAnsi"/>
          <w:sz w:val="22"/>
          <w:szCs w:val="22"/>
        </w:rPr>
        <w:t>m</w:t>
      </w:r>
      <w:r w:rsidR="00FE7CCE" w:rsidRPr="00FE7CCE">
        <w:rPr>
          <w:rFonts w:asciiTheme="minorHAnsi" w:hAnsiTheme="minorHAnsi"/>
          <w:sz w:val="22"/>
          <w:szCs w:val="22"/>
        </w:rPr>
        <w:t xml:space="preserve">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 (Dz. Urz. UE L 437 z 28.12.2020, str. 30) [</w:t>
      </w:r>
      <w:r w:rsidR="00FE7CCE">
        <w:rPr>
          <w:rFonts w:asciiTheme="minorHAnsi" w:hAnsiTheme="minorHAnsi"/>
          <w:sz w:val="22"/>
          <w:szCs w:val="22"/>
        </w:rPr>
        <w:t xml:space="preserve">dalej: </w:t>
      </w:r>
      <w:r w:rsidR="00FE7CCE" w:rsidRPr="00FE7CCE">
        <w:rPr>
          <w:rFonts w:asciiTheme="minorHAnsi" w:hAnsiTheme="minorHAnsi"/>
          <w:sz w:val="22"/>
          <w:szCs w:val="22"/>
        </w:rPr>
        <w:t>Rozporządzenie REACT – EU]</w:t>
      </w:r>
      <w:r w:rsidR="00FE7CCE">
        <w:rPr>
          <w:rFonts w:asciiTheme="minorHAnsi" w:hAnsiTheme="minorHAnsi"/>
          <w:sz w:val="22"/>
          <w:szCs w:val="22"/>
        </w:rPr>
        <w:t>,</w:t>
      </w:r>
    </w:p>
    <w:p w14:paraId="403449E0" w14:textId="77777777" w:rsidR="00ED73D9" w:rsidRDefault="00ED73D9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F6B6EAB" w14:textId="0DE18EC1" w:rsidR="000906B8" w:rsidRPr="00DD0783" w:rsidRDefault="00ED73D9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e) </w:t>
      </w:r>
      <w:r w:rsidR="000906B8" w:rsidRPr="00DD0783">
        <w:rPr>
          <w:rFonts w:asciiTheme="minorHAnsi" w:hAnsiTheme="minorHAnsi"/>
          <w:sz w:val="22"/>
          <w:szCs w:val="22"/>
        </w:rPr>
        <w:t>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14:paraId="578198CB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1CF9B8F" w14:textId="77777777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 xml:space="preserve">Wytyczne w zakresie kwalifikowalności wydatków w ramach </w:t>
      </w:r>
      <w:r w:rsidRPr="009A5E66">
        <w:rPr>
          <w:b/>
          <w:i/>
        </w:rPr>
        <w:lastRenderedPageBreak/>
        <w:t>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</w:t>
      </w:r>
      <w:r w:rsidR="003F6BB8" w:rsidRPr="00C40B9D">
        <w:rPr>
          <w:b/>
        </w:rPr>
        <w:t>Finansów</w:t>
      </w:r>
      <w:r w:rsidR="004F3C6C">
        <w:rPr>
          <w:b/>
        </w:rPr>
        <w:t>, Funduszy i Polityki Regionalnej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2" w:name="_Hlk520107836"/>
      <w:r w:rsidR="00AB3866" w:rsidRPr="00C40B9D">
        <w:rPr>
          <w:b/>
        </w:rPr>
        <w:t xml:space="preserve">finansowanych z EFRR – </w:t>
      </w:r>
      <w:bookmarkEnd w:id="2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348F816F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06559EB" w14:textId="42CC9C9A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3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3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</w:t>
      </w:r>
      <w:r w:rsidR="00E21C92">
        <w:rPr>
          <w:rFonts w:asciiTheme="minorHAnsi" w:hAnsiTheme="minorHAnsi"/>
          <w:sz w:val="22"/>
          <w:szCs w:val="22"/>
        </w:rPr>
        <w:t xml:space="preserve"> oraz 12</w:t>
      </w:r>
      <w:r w:rsidR="00C10F6C" w:rsidRPr="00DD0783">
        <w:rPr>
          <w:rFonts w:asciiTheme="minorHAnsi" w:hAnsiTheme="minorHAnsi"/>
          <w:sz w:val="22"/>
          <w:szCs w:val="22"/>
        </w:rPr>
        <w:t>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4B3730A3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4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4"/>
    <w:p w14:paraId="1F51B3C3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1C69F9D6" w14:textId="77777777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28A250D9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760460F5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210885D3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14:paraId="5F02BC01" w14:textId="77777777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06F34FBA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F46527C" w14:textId="407CE6BC"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5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5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2939FE">
        <w:rPr>
          <w:rFonts w:asciiTheme="minorHAnsi" w:hAnsiTheme="minorHAnsi"/>
          <w:sz w:val="22"/>
          <w:szCs w:val="22"/>
        </w:rPr>
        <w:t>/nadzwyczajnym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14:paraId="07D73691" w14:textId="77777777"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6551225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8A5FB7E" w14:textId="77777777"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42ADF9C0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7530096" w14:textId="77777777"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0A80CE71" w14:textId="6E5DE144" w:rsidR="003C1F46" w:rsidRDefault="005953E3" w:rsidP="00122E9E">
      <w:pPr>
        <w:tabs>
          <w:tab w:val="left" w:pos="5330"/>
        </w:tabs>
        <w:spacing w:line="240" w:lineRule="auto"/>
        <w:jc w:val="both"/>
        <w:rPr>
          <w:rFonts w:ascii="Calibri" w:hAnsi="Calibri" w:cs="Arial"/>
        </w:rPr>
      </w:pPr>
      <w:r w:rsidRPr="004F19B4">
        <w:t>W przypadku projektów  dotyczących inwestycji skierowanych na poprawę sytuacji epidemiologicznej w związku z koronawirusem (typ 6.2.</w:t>
      </w:r>
      <w:r w:rsidR="00EF14EA">
        <w:t>C</w:t>
      </w:r>
      <w:r w:rsidRPr="004F19B4">
        <w:t xml:space="preserve">) </w:t>
      </w:r>
      <w:r w:rsidR="006F22C1" w:rsidRPr="00806B66">
        <w:t>nie mają zastosowania poniższe zapisy,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  <w:r w:rsidR="003C1F46">
        <w:rPr>
          <w:rFonts w:ascii="Calibri" w:hAnsi="Calibri" w:cs="Arial"/>
        </w:rPr>
        <w:t xml:space="preserve"> </w:t>
      </w:r>
    </w:p>
    <w:p w14:paraId="364A390F" w14:textId="4114446E" w:rsidR="00122E9E" w:rsidRPr="00DD0783" w:rsidRDefault="003C1F46" w:rsidP="00122E9E">
      <w:pPr>
        <w:tabs>
          <w:tab w:val="left" w:pos="5330"/>
        </w:tabs>
        <w:spacing w:line="240" w:lineRule="auto"/>
        <w:jc w:val="both"/>
        <w:rPr>
          <w:b/>
        </w:rPr>
      </w:pPr>
      <w:r>
        <w:rPr>
          <w:rFonts w:ascii="Calibri" w:hAnsi="Calibri" w:cs="Arial"/>
        </w:rPr>
        <w:t>W przypadku projektów realizowanych na podstawie rozporządzenia REACT – EU zastosowanie mają regulacje wskazane w tym rozporządzeniu, w szczególności okres kwalifikowalności wydatków rozpoczynający się od 1 lutego 2020 r. oraz wyłączenie stosowania art. 65 ust. 6 rozporządzenia ogólnego dot. projektów zakończonych</w:t>
      </w:r>
      <w:r w:rsidR="00447E50">
        <w:rPr>
          <w:rFonts w:ascii="Calibri" w:hAnsi="Calibri" w:cs="Arial"/>
        </w:rPr>
        <w:t xml:space="preserve"> przed złożeniem wniosku o dofinansowanie projektu</w:t>
      </w:r>
      <w:r w:rsidR="002939FE">
        <w:rPr>
          <w:rFonts w:ascii="Calibri" w:hAnsi="Calibri" w:cs="Arial"/>
        </w:rPr>
        <w:t xml:space="preserve">, z zastrzeżeniem, że w </w:t>
      </w:r>
      <w:r w:rsidR="002939FE" w:rsidRPr="00367956">
        <w:rPr>
          <w:rFonts w:ascii="Calibri" w:hAnsi="Calibri" w:cs="Arial"/>
        </w:rPr>
        <w:t>przypadku projektów realizowanych w działaniu 12.4</w:t>
      </w:r>
      <w:r w:rsidR="002939FE" w:rsidRPr="003247E8">
        <w:rPr>
          <w:rFonts w:ascii="Calibri" w:hAnsi="Calibri" w:cs="Arial"/>
        </w:rPr>
        <w:t xml:space="preserve"> </w:t>
      </w:r>
      <w:r w:rsidR="002939FE">
        <w:rPr>
          <w:rFonts w:ascii="Calibri" w:hAnsi="Calibri" w:cs="Arial"/>
        </w:rPr>
        <w:t xml:space="preserve">okres kwalifikowalności wydatków rozpoczyna się od 24 lutego 2022 r. czyli w dniu agresji </w:t>
      </w:r>
      <w:r w:rsidR="002939FE" w:rsidRPr="008B0315">
        <w:rPr>
          <w:rFonts w:ascii="Calibri" w:hAnsi="Calibri" w:cs="Arial"/>
        </w:rPr>
        <w:t>Federacji Rosyjskiej</w:t>
      </w:r>
      <w:r w:rsidR="002939FE">
        <w:rPr>
          <w:rFonts w:ascii="Calibri" w:hAnsi="Calibri" w:cs="Arial"/>
        </w:rPr>
        <w:t xml:space="preserve"> na Ukrainę</w:t>
      </w:r>
      <w:r w:rsidR="00447E50">
        <w:rPr>
          <w:rFonts w:ascii="Calibri" w:hAnsi="Calibri" w:cs="Arial"/>
        </w:rPr>
        <w:t>.</w:t>
      </w:r>
    </w:p>
    <w:p w14:paraId="587BC1A0" w14:textId="77777777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3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1EBFF46A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45103F74" w14:textId="30F82771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</w:t>
      </w:r>
      <w:r w:rsidR="00E21C92">
        <w:rPr>
          <w:b/>
        </w:rPr>
        <w:t xml:space="preserve"> oraz 12</w:t>
      </w:r>
      <w:r w:rsidR="00A23F33" w:rsidRPr="00DD0783">
        <w:rPr>
          <w:b/>
        </w:rPr>
        <w:t xml:space="preserve">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1B5F20C8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4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6456"/>
      </w:tblGrid>
      <w:tr w:rsidR="00A23F33" w:rsidRPr="00DD0783" w14:paraId="4B45735E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B7951C1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RODZAJ WYDATKU</w:t>
            </w:r>
          </w:p>
        </w:tc>
        <w:tc>
          <w:tcPr>
            <w:tcW w:w="3562" w:type="pct"/>
            <w:vAlign w:val="center"/>
          </w:tcPr>
          <w:p w14:paraId="68421C5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2E2DE3E" w14:textId="77777777" w:rsidTr="009A053B">
        <w:tc>
          <w:tcPr>
            <w:tcW w:w="1438" w:type="pct"/>
            <w:shd w:val="clear" w:color="auto" w:fill="99CCFF"/>
            <w:vAlign w:val="center"/>
          </w:tcPr>
          <w:p w14:paraId="4267C77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225C3D22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47A2027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2D45632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</w:t>
            </w:r>
            <w:r w:rsidR="008A024B">
              <w:t>, oraz w przypadku projektów pozakonkursowych w Osi Priorytetowej 1 Przedsiębiorstwa i innowacje</w:t>
            </w:r>
            <w:r w:rsidRPr="00DD0783">
              <w:t>.</w:t>
            </w:r>
          </w:p>
          <w:p w14:paraId="59F9936D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5699A8A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</w:t>
            </w:r>
            <w:r w:rsidR="008A024B">
              <w:t>, oraz w przypadku projektów pozakonkursowych w Osi Priorytetowej 1 Przedsiębiorstwa i innowacje</w:t>
            </w:r>
            <w:r w:rsidR="006E292B">
              <w:t>.</w:t>
            </w:r>
          </w:p>
          <w:p w14:paraId="5FE798EE" w14:textId="77777777"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4A4CA2A3" w14:textId="77777777" w:rsidTr="009A053B">
        <w:tc>
          <w:tcPr>
            <w:tcW w:w="1438" w:type="pct"/>
            <w:shd w:val="clear" w:color="auto" w:fill="99CCFF"/>
            <w:vAlign w:val="center"/>
          </w:tcPr>
          <w:p w14:paraId="6474CD0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6FEB9ECC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3D37FCF5" w14:textId="0A4D867C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Odwoanieprzypisudolnego"/>
              </w:rPr>
              <w:footnoteReference w:id="5"/>
            </w:r>
            <w:r w:rsidR="002939FE">
              <w:rPr>
                <w:rStyle w:val="Odwoanieprzypisudolnego"/>
              </w:rPr>
              <w:footnoteReference w:id="6"/>
            </w:r>
            <w:r w:rsidRPr="00DD0783">
              <w:t>;</w:t>
            </w:r>
          </w:p>
          <w:p w14:paraId="27F01ECB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1DA18C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66F56B9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14:paraId="702EB11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1C909B7D" w14:textId="77777777" w:rsidTr="009A053B">
        <w:tc>
          <w:tcPr>
            <w:tcW w:w="1438" w:type="pct"/>
            <w:shd w:val="clear" w:color="auto" w:fill="99CCFF"/>
            <w:vAlign w:val="center"/>
          </w:tcPr>
          <w:p w14:paraId="7908149D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460BBD3A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14:paraId="4B672D04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5036CF37" w14:textId="77777777" w:rsidR="002C7271" w:rsidRPr="00F55C85" w:rsidRDefault="002C7271" w:rsidP="00D44C8D">
            <w:pPr>
              <w:spacing w:before="120" w:after="120" w:line="240" w:lineRule="auto"/>
              <w:jc w:val="both"/>
              <w:rPr>
                <w:i/>
              </w:rPr>
            </w:pPr>
            <w:r w:rsidRPr="00DD0783">
              <w:t>Ogr</w:t>
            </w:r>
            <w:r>
              <w:t>aniczenie procentowe nie dotyczy pilotażowego projektu pozakonkursowego Catching Up w ramach Poddziałania 1.3.4 D</w:t>
            </w:r>
            <w:r w:rsidRPr="00D97C03">
              <w:t xml:space="preserve">,  </w:t>
            </w:r>
            <w:r w:rsidRPr="002873AD">
              <w:t xml:space="preserve">dla którego stosowne uregulowania znajdą się w </w:t>
            </w:r>
            <w:r w:rsidRPr="002873AD">
              <w:rPr>
                <w:i/>
              </w:rPr>
              <w:t>Zasadach ubiegania się o wsparcie w trybie pozakonkursowym</w:t>
            </w:r>
            <w:r w:rsidRPr="00D97C03">
              <w:rPr>
                <w:i/>
              </w:rPr>
              <w:t>.</w:t>
            </w:r>
          </w:p>
          <w:p w14:paraId="61B845D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755D747E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1D4B08FA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62A41464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4BAF3BA9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90B5541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2A9BCC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VAT</w:t>
            </w:r>
          </w:p>
        </w:tc>
        <w:tc>
          <w:tcPr>
            <w:tcW w:w="3562" w:type="pct"/>
            <w:vAlign w:val="center"/>
          </w:tcPr>
          <w:p w14:paraId="74BB611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538806D2" w14:textId="77777777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247A75F1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2068DC23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2D242A8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2753E8AC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5911C674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lastRenderedPageBreak/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19F74448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3E034676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1EB30193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54501CAC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5C292C01" w14:textId="77777777" w:rsidTr="009A053B">
        <w:tc>
          <w:tcPr>
            <w:tcW w:w="1438" w:type="pct"/>
            <w:shd w:val="clear" w:color="auto" w:fill="99CCFF"/>
            <w:vAlign w:val="center"/>
          </w:tcPr>
          <w:p w14:paraId="71D1E28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1BEC87F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394BCCF1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28A0652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71A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43622E3F" w14:textId="77777777" w:rsidTr="009A053B">
        <w:tc>
          <w:tcPr>
            <w:tcW w:w="1438" w:type="pct"/>
            <w:shd w:val="clear" w:color="auto" w:fill="99CCFF"/>
            <w:vAlign w:val="center"/>
          </w:tcPr>
          <w:p w14:paraId="2C0213FE" w14:textId="77777777"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66C5B3F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4995E984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172C3E2E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175A1A4B" w14:textId="77777777" w:rsidR="00A23F3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  <w:p w14:paraId="76AF6FD5" w14:textId="77777777" w:rsidR="000A7F5D" w:rsidRPr="00DD0783" w:rsidRDefault="000A7F5D" w:rsidP="009768D8">
            <w:pPr>
              <w:spacing w:after="120" w:line="240" w:lineRule="auto"/>
            </w:pPr>
          </w:p>
        </w:tc>
      </w:tr>
      <w:tr w:rsidR="00A23F33" w:rsidRPr="00DD0783" w14:paraId="61D4F353" w14:textId="77777777" w:rsidTr="009A053B">
        <w:tc>
          <w:tcPr>
            <w:tcW w:w="1438" w:type="pct"/>
            <w:shd w:val="clear" w:color="auto" w:fill="99CCFF"/>
            <w:vAlign w:val="center"/>
          </w:tcPr>
          <w:p w14:paraId="28950812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8"/>
            </w:r>
          </w:p>
        </w:tc>
        <w:tc>
          <w:tcPr>
            <w:tcW w:w="3562" w:type="pct"/>
            <w:vAlign w:val="center"/>
          </w:tcPr>
          <w:p w14:paraId="78636491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1815FA33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1E2C432E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231A0E95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39AE3FEC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6CD719BF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Odwoanieprzypisudolnego"/>
              </w:rPr>
              <w:footnoteReference w:id="9"/>
            </w:r>
            <w:r w:rsidR="00B46B35" w:rsidRPr="00DD0783">
              <w:t>.</w:t>
            </w:r>
          </w:p>
          <w:p w14:paraId="1303AC8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0EFD6493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2A08061D" w14:textId="77777777" w:rsidR="004246C3" w:rsidRPr="00F55C85" w:rsidRDefault="004246C3" w:rsidP="00D44C8D">
            <w:pPr>
              <w:spacing w:before="120" w:after="120" w:line="240" w:lineRule="auto"/>
              <w:jc w:val="both"/>
              <w:rPr>
                <w:i/>
              </w:rPr>
            </w:pPr>
            <w:r>
              <w:t xml:space="preserve">Powyższe ograniczenia nie dotyczą </w:t>
            </w:r>
            <w:r w:rsidR="008E78FA">
              <w:t>projektów pozakonkursowych w Osi Priorytetowej 1 Przedsiębiorstwa i innowacje</w:t>
            </w:r>
            <w:r w:rsidRPr="00215C3A">
              <w:rPr>
                <w:i/>
              </w:rPr>
              <w:t>.</w:t>
            </w:r>
          </w:p>
          <w:p w14:paraId="10DF4E8B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58F06340" w14:textId="77777777" w:rsidTr="009A053B">
        <w:tc>
          <w:tcPr>
            <w:tcW w:w="1438" w:type="pct"/>
            <w:shd w:val="clear" w:color="auto" w:fill="99CCFF"/>
            <w:vAlign w:val="center"/>
          </w:tcPr>
          <w:p w14:paraId="4187A645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0C028D38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02370A39" w14:textId="77777777" w:rsidTr="009A053B">
        <w:tc>
          <w:tcPr>
            <w:tcW w:w="1438" w:type="pct"/>
            <w:shd w:val="clear" w:color="auto" w:fill="99CCFF"/>
            <w:vAlign w:val="center"/>
          </w:tcPr>
          <w:p w14:paraId="191C7A26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10"/>
            </w:r>
          </w:p>
        </w:tc>
        <w:tc>
          <w:tcPr>
            <w:tcW w:w="3562" w:type="pct"/>
            <w:vAlign w:val="center"/>
          </w:tcPr>
          <w:p w14:paraId="7486CCD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726DF194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7ED9BD10" w14:textId="77777777" w:rsidR="00A3700C" w:rsidRPr="00DD0783" w:rsidRDefault="00A3700C" w:rsidP="00B54CCC">
            <w:pPr>
              <w:spacing w:before="120" w:after="120" w:line="240" w:lineRule="auto"/>
              <w:jc w:val="both"/>
            </w:pPr>
          </w:p>
        </w:tc>
      </w:tr>
      <w:tr w:rsidR="00A23F33" w:rsidRPr="00DD0783" w14:paraId="3D94E580" w14:textId="77777777" w:rsidTr="009A053B">
        <w:tc>
          <w:tcPr>
            <w:tcW w:w="1438" w:type="pct"/>
            <w:shd w:val="clear" w:color="auto" w:fill="99CCFF"/>
            <w:vAlign w:val="center"/>
          </w:tcPr>
          <w:p w14:paraId="148FE67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3562" w:type="pct"/>
            <w:vAlign w:val="center"/>
          </w:tcPr>
          <w:p w14:paraId="6F89B1E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107A1A99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  <w:p w14:paraId="375B1DD9" w14:textId="77777777" w:rsidR="00A3700C" w:rsidRPr="00DD0783" w:rsidRDefault="00A3700C" w:rsidP="009768D8">
            <w:pPr>
              <w:spacing w:before="120" w:after="120" w:line="240" w:lineRule="auto"/>
              <w:jc w:val="both"/>
            </w:pPr>
            <w:r>
              <w:t xml:space="preserve">Powyższe ograniczenia nie dotyczą </w:t>
            </w:r>
            <w:r w:rsidR="0034694E">
              <w:t xml:space="preserve">projektów pozakonkursowych w Osi Priorytetowej 1 Przedsiębiorstwa i innowacje. </w:t>
            </w:r>
          </w:p>
        </w:tc>
      </w:tr>
      <w:tr w:rsidR="00A23F33" w:rsidRPr="00DD0783" w14:paraId="02330C15" w14:textId="77777777" w:rsidTr="009A053B">
        <w:tc>
          <w:tcPr>
            <w:tcW w:w="1438" w:type="pct"/>
            <w:shd w:val="clear" w:color="auto" w:fill="99CCFF"/>
            <w:vAlign w:val="center"/>
          </w:tcPr>
          <w:p w14:paraId="143526E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5622701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269BBA91" w14:textId="77777777" w:rsidTr="009A053B">
        <w:tc>
          <w:tcPr>
            <w:tcW w:w="1438" w:type="pct"/>
            <w:shd w:val="clear" w:color="auto" w:fill="99CCFF"/>
            <w:vAlign w:val="center"/>
          </w:tcPr>
          <w:p w14:paraId="7B63406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29AB2AF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1EF805C8" w14:textId="77777777" w:rsidTr="009A053B">
        <w:tc>
          <w:tcPr>
            <w:tcW w:w="1438" w:type="pct"/>
            <w:shd w:val="clear" w:color="auto" w:fill="99CCFF"/>
            <w:vAlign w:val="center"/>
          </w:tcPr>
          <w:p w14:paraId="3F51240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26E08BE5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0F639820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7ACFC57C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0FD8194A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704EED71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lastRenderedPageBreak/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00C1A9F7" w14:textId="77777777" w:rsidTr="009A053B">
        <w:tc>
          <w:tcPr>
            <w:tcW w:w="1438" w:type="pct"/>
            <w:shd w:val="clear" w:color="auto" w:fill="99CCFF"/>
            <w:vAlign w:val="center"/>
          </w:tcPr>
          <w:p w14:paraId="2C029BB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lastRenderedPageBreak/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14:paraId="7B1C1E4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14:paraId="6FEBDCB3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0A21012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Odwoanieprzypisudolnego"/>
                <w:b/>
              </w:rPr>
              <w:footnoteReference w:id="12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3E2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14:paraId="467EABF0" w14:textId="77777777" w:rsidR="00A26918" w:rsidRDefault="00A26918" w:rsidP="003B2988">
      <w:pPr>
        <w:jc w:val="both"/>
        <w:rPr>
          <w:b/>
        </w:rPr>
      </w:pPr>
    </w:p>
    <w:p w14:paraId="0496DD73" w14:textId="77777777"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14:paraId="2ABA2E4A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438E987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507CB17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5AB071E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3E0E7EB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4D1F02A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3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39B4820D" w14:textId="77777777" w:rsidR="00A23F33" w:rsidRPr="00CD30E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5CEE02F7" w14:textId="77777777" w:rsidR="00144BB9" w:rsidRPr="00DD0783" w:rsidRDefault="00144BB9" w:rsidP="00E71C56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Odwoanieprzypisudolnego"/>
          <w:rFonts w:eastAsia="Times New Roman" w:cs="Times New Roman"/>
        </w:rPr>
        <w:footnoteReference w:id="14"/>
      </w:r>
      <w:r>
        <w:rPr>
          <w:rFonts w:eastAsia="Times New Roman" w:cs="Times New Roman"/>
        </w:rPr>
        <w:t>.</w:t>
      </w:r>
    </w:p>
    <w:p w14:paraId="31F49A31" w14:textId="77777777" w:rsidR="00A23F33" w:rsidRPr="00DD0783" w:rsidRDefault="00A23F33" w:rsidP="003B2988">
      <w:pPr>
        <w:pStyle w:val="Akapitzlist"/>
        <w:spacing w:after="0"/>
        <w:jc w:val="both"/>
      </w:pPr>
    </w:p>
    <w:p w14:paraId="0FCC2930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2654D2A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1F23388D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14:paraId="253D3CCF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6"/>
      </w:r>
      <w:r w:rsidRPr="00DD0783">
        <w:rPr>
          <w:rFonts w:eastAsia="Times New Roman" w:cs="Times New Roman"/>
        </w:rPr>
        <w:t>.</w:t>
      </w:r>
    </w:p>
    <w:p w14:paraId="3952A4E5" w14:textId="6FE43C40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7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14:paraId="328CBAE9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14:paraId="5BEB4EB1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6D36B22B" w14:textId="77777777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665DFB9A" w14:textId="77777777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3E8A3702" w14:textId="77777777" w:rsidR="00DD5F4B" w:rsidRPr="00DD0783" w:rsidRDefault="00DD5F4B" w:rsidP="003B2988">
      <w:pPr>
        <w:pStyle w:val="Akapitzlist"/>
        <w:spacing w:after="0"/>
        <w:jc w:val="both"/>
      </w:pPr>
    </w:p>
    <w:p w14:paraId="576D2F6D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12C1516D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1D5D7A7F" w14:textId="77777777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>.</w:t>
      </w:r>
    </w:p>
    <w:p w14:paraId="263120F2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9"/>
      </w:r>
      <w:r w:rsidRPr="00DD0783">
        <w:rPr>
          <w:rFonts w:eastAsia="Times New Roman" w:cs="Times New Roman"/>
        </w:rPr>
        <w:t xml:space="preserve">. </w:t>
      </w:r>
    </w:p>
    <w:p w14:paraId="45C9B057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8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8"/>
      <w:r w:rsidRPr="00DD0783">
        <w:rPr>
          <w:rFonts w:eastAsia="Times New Roman" w:cs="Times New Roman"/>
        </w:rPr>
        <w:t>.</w:t>
      </w:r>
    </w:p>
    <w:p w14:paraId="657EDDEF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20"/>
      </w:r>
      <w:r w:rsidR="001213D3" w:rsidRPr="00DD0783">
        <w:t>.</w:t>
      </w:r>
    </w:p>
    <w:p w14:paraId="4F14FBFB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7313A412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CE582B">
        <w:rPr>
          <w:rFonts w:eastAsia="Times New Roman" w:cs="Times New Roman"/>
          <w:b/>
        </w:rPr>
        <w:t xml:space="preserve"> b</w:t>
      </w:r>
      <w:r w:rsidR="006B4515" w:rsidRPr="00DD0783">
        <w:rPr>
          <w:rFonts w:eastAsia="Times New Roman" w:cs="Times New Roman"/>
          <w:b/>
        </w:rPr>
        <w:t>:</w:t>
      </w:r>
    </w:p>
    <w:p w14:paraId="538A4937" w14:textId="77777777" w:rsidR="00CE582B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CE582B">
        <w:rPr>
          <w:rFonts w:eastAsia="Times New Roman" w:cs="Times New Roman"/>
        </w:rPr>
        <w:t>;</w:t>
      </w:r>
    </w:p>
    <w:p w14:paraId="7B27946D" w14:textId="77777777" w:rsidR="00154A82" w:rsidRDefault="00154A82" w:rsidP="00154A82">
      <w:pPr>
        <w:pStyle w:val="Akapitzlist"/>
        <w:numPr>
          <w:ilvl w:val="0"/>
          <w:numId w:val="16"/>
        </w:numPr>
        <w:spacing w:after="0"/>
        <w:jc w:val="both"/>
      </w:pPr>
      <w:r>
        <w:t xml:space="preserve">Wydatki Grantodawcy </w:t>
      </w:r>
      <w:r w:rsidRPr="00154A82">
        <w:rPr>
          <w:b/>
          <w:u w:val="single"/>
        </w:rPr>
        <w:t>inne niż</w:t>
      </w:r>
      <w:r>
        <w:rPr>
          <w:color w:val="1F497D" w:themeColor="dark2"/>
        </w:rPr>
        <w:t>:</w:t>
      </w:r>
      <w:r>
        <w:t xml:space="preserve"> </w:t>
      </w:r>
    </w:p>
    <w:p w14:paraId="38760472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 xml:space="preserve">wynagrodzenia pracowników zaangażowanych w realizację projektu, </w:t>
      </w:r>
    </w:p>
    <w:p w14:paraId="22956428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>zakup środków trwałych</w:t>
      </w:r>
      <w:r w:rsidR="001B56D3">
        <w:t xml:space="preserve"> </w:t>
      </w:r>
      <w:r w:rsidR="001B56D3">
        <w:rPr>
          <w:rFonts w:ascii="Calibri" w:eastAsia="Times New Roman" w:hAnsi="Calibri" w:cs="Arial"/>
        </w:rPr>
        <w:t>(z wyłączeniem grup 0, 1, 2, 7, 9 wg Klasyfikacji Środków Trwałych)</w:t>
      </w:r>
      <w:r>
        <w:t xml:space="preserve">, </w:t>
      </w:r>
    </w:p>
    <w:p w14:paraId="583004BB" w14:textId="77777777" w:rsidR="00154A82" w:rsidRPr="008772F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 xml:space="preserve">usługi związane z promocją </w:t>
      </w:r>
      <w:r w:rsidRPr="008772F2">
        <w:t>projektu</w:t>
      </w:r>
      <w:r w:rsidR="00157F1C" w:rsidRPr="008772F2">
        <w:t xml:space="preserve"> (tj. wydatki związane z działaniami informacyjno-promocyjnymi projektu, np. informacja na stronie www o uzyskanym wsparciu, jak i wydatki związane z merytoryczną promocją projektu, np. spoty informacyjne w mediach)</w:t>
      </w:r>
      <w:r w:rsidRPr="008772F2">
        <w:t xml:space="preserve">. </w:t>
      </w:r>
    </w:p>
    <w:p w14:paraId="45326E99" w14:textId="77777777" w:rsidR="00CE582B" w:rsidRDefault="00CE582B" w:rsidP="001B7507">
      <w:pPr>
        <w:spacing w:after="0"/>
        <w:jc w:val="both"/>
        <w:rPr>
          <w:b/>
        </w:rPr>
      </w:pPr>
    </w:p>
    <w:p w14:paraId="3AC9B64E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6763963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budowę, przebudowę, odbudowę, rozbudowę, nadbudowę obiektu budowlanego przekraczające 50% całkowitych wydatków kwalifikowalnych projektu.</w:t>
      </w:r>
    </w:p>
    <w:p w14:paraId="7285B70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0ECC8B7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80E7BE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3EB3ADC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0E1D6303" w14:textId="77777777" w:rsidR="00A23F33" w:rsidRPr="00DD0783" w:rsidRDefault="00A23F33" w:rsidP="003B2988">
      <w:pPr>
        <w:pStyle w:val="Akapitzlist"/>
        <w:spacing w:after="0"/>
        <w:jc w:val="both"/>
      </w:pPr>
    </w:p>
    <w:p w14:paraId="186C2FC7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097195ED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6591542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135638B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6DCA37B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21"/>
      </w:r>
      <w:r w:rsidRPr="00DD0783">
        <w:rPr>
          <w:rFonts w:eastAsia="Times New Roman" w:cs="Times New Roman"/>
        </w:rPr>
        <w:t>.</w:t>
      </w:r>
    </w:p>
    <w:p w14:paraId="01C9528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36F210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22"/>
      </w:r>
      <w:r w:rsidRPr="00DD0783">
        <w:rPr>
          <w:rFonts w:cs="Arial"/>
        </w:rPr>
        <w:t>.</w:t>
      </w:r>
    </w:p>
    <w:p w14:paraId="79525D7C" w14:textId="77777777" w:rsidR="00A23F33" w:rsidRPr="00DD0783" w:rsidRDefault="00A23F33" w:rsidP="003B2988">
      <w:pPr>
        <w:pStyle w:val="Akapitzlist"/>
        <w:spacing w:after="0"/>
        <w:jc w:val="both"/>
      </w:pPr>
    </w:p>
    <w:p w14:paraId="67D95661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17D3BC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14:paraId="30F91E5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600E015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4564B9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4D9F73D1" w14:textId="77777777" w:rsidR="00A23F33" w:rsidRPr="00DD0783" w:rsidRDefault="00A23F33" w:rsidP="003B2988">
      <w:pPr>
        <w:pStyle w:val="Akapitzlist"/>
        <w:spacing w:after="0"/>
        <w:jc w:val="both"/>
      </w:pPr>
    </w:p>
    <w:p w14:paraId="792AF216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7F963C0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418A23D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6B8D278C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4"/>
      </w:r>
      <w:r w:rsidRPr="00DD0783">
        <w:rPr>
          <w:rFonts w:eastAsia="Times New Roman" w:cs="Times New Roman"/>
        </w:rPr>
        <w:t>.</w:t>
      </w:r>
    </w:p>
    <w:p w14:paraId="21331428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F990465" w14:textId="77777777" w:rsidR="00A3700C" w:rsidRDefault="00A3700C" w:rsidP="00A3700C">
      <w:pPr>
        <w:jc w:val="both"/>
        <w:rPr>
          <w:b/>
        </w:rPr>
      </w:pPr>
      <w:r>
        <w:rPr>
          <w:b/>
        </w:rPr>
        <w:t>Poddziałanie</w:t>
      </w:r>
      <w:r w:rsidRPr="00DD0783">
        <w:rPr>
          <w:b/>
        </w:rPr>
        <w:t xml:space="preserve"> 1.3</w:t>
      </w:r>
      <w:r>
        <w:rPr>
          <w:b/>
        </w:rPr>
        <w:t>.4 D</w:t>
      </w:r>
      <w:r w:rsidRPr="00DD0783">
        <w:rPr>
          <w:b/>
        </w:rPr>
        <w:t xml:space="preserve"> Rozwój przedsiębiorczości</w:t>
      </w:r>
      <w:r>
        <w:rPr>
          <w:b/>
        </w:rPr>
        <w:t xml:space="preserve"> – projekt pozakonkursowy</w:t>
      </w:r>
      <w:r w:rsidRPr="00DD0783">
        <w:rPr>
          <w:b/>
        </w:rPr>
        <w:t>:</w:t>
      </w:r>
    </w:p>
    <w:p w14:paraId="6C4A6391" w14:textId="77777777" w:rsidR="00A3700C" w:rsidRPr="002873AD" w:rsidRDefault="00A3700C" w:rsidP="00A3700C">
      <w:pPr>
        <w:pStyle w:val="Akapitzlist"/>
        <w:numPr>
          <w:ilvl w:val="0"/>
          <w:numId w:val="44"/>
        </w:numPr>
        <w:jc w:val="both"/>
      </w:pPr>
      <w:r w:rsidRPr="002873AD">
        <w:t>Wydatki związane z usługami doradczymi na rzecz MŚP przekraczające 55% wydatków kwalifikowalnych projektu</w:t>
      </w:r>
      <w:r>
        <w:t>.</w:t>
      </w:r>
    </w:p>
    <w:p w14:paraId="7CDA9973" w14:textId="77777777" w:rsidR="00A3700C" w:rsidRPr="00A3700C" w:rsidRDefault="005D6291" w:rsidP="00A3700C">
      <w:pPr>
        <w:pStyle w:val="Akapitzlist"/>
        <w:numPr>
          <w:ilvl w:val="0"/>
          <w:numId w:val="44"/>
        </w:numPr>
        <w:jc w:val="both"/>
      </w:pPr>
      <w:r>
        <w:lastRenderedPageBreak/>
        <w:t>Wydatki na Działania ws</w:t>
      </w:r>
      <w:r w:rsidR="00A3700C" w:rsidRPr="002873AD">
        <w:t>pierające usługi doradcze na rzecz MŚP przekraczające 45% wydatków kwalifikowalnych projektu.</w:t>
      </w:r>
    </w:p>
    <w:p w14:paraId="693DC0A5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0" w:name="_Toc194291240"/>
      <w:bookmarkStart w:id="11" w:name="_Toc209405135"/>
      <w:r w:rsidR="00A23F33" w:rsidRPr="00DD0783">
        <w:rPr>
          <w:b/>
        </w:rPr>
        <w:t xml:space="preserve"> </w:t>
      </w:r>
      <w:bookmarkEnd w:id="10"/>
      <w:bookmarkEnd w:id="11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1145B21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04F8A4A8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5"/>
      </w:r>
      <w:r w:rsidRPr="00DD0783">
        <w:rPr>
          <w:rFonts w:eastAsiaTheme="majorEastAsia" w:cstheme="majorBidi"/>
          <w:bCs/>
        </w:rPr>
        <w:t>.</w:t>
      </w:r>
    </w:p>
    <w:p w14:paraId="51D18631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6E15DDDF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57EDAD52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14:paraId="541EFFA0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444178FD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1ECB4FE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8C57AD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6"/>
      </w:r>
      <w:r w:rsidRPr="00DD0783">
        <w:t>.</w:t>
      </w:r>
    </w:p>
    <w:p w14:paraId="4B06FBE6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65FA8663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57026A04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12AA04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1F78B5C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74E311A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4629E70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5090AE9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5987AA4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449C5F8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3E0A84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7"/>
      </w:r>
      <w:r w:rsidRPr="00DD0783">
        <w:t>.</w:t>
      </w:r>
    </w:p>
    <w:p w14:paraId="3487527E" w14:textId="77777777" w:rsidR="00A23F33" w:rsidRPr="00DD0783" w:rsidRDefault="00A23F33" w:rsidP="003B2988">
      <w:pPr>
        <w:pStyle w:val="Akapitzlist"/>
        <w:spacing w:after="0"/>
        <w:jc w:val="both"/>
      </w:pPr>
    </w:p>
    <w:p w14:paraId="46748025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7E64D325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7D052C1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4A7AA0D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5D7A250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31EABF0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8"/>
      </w:r>
      <w:r w:rsidRPr="00DD0783">
        <w:rPr>
          <w:rFonts w:eastAsia="Times New Roman" w:cs="Times New Roman"/>
        </w:rPr>
        <w:t xml:space="preserve">). </w:t>
      </w:r>
    </w:p>
    <w:p w14:paraId="15B0433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260E971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9"/>
      </w:r>
      <w:r w:rsidRPr="00DD0783">
        <w:t>.</w:t>
      </w:r>
    </w:p>
    <w:p w14:paraId="18C7944B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30"/>
      </w:r>
      <w:r w:rsidRPr="00DD0783">
        <w:rPr>
          <w:rFonts w:eastAsia="Times New Roman" w:cs="Times New Roman"/>
        </w:rPr>
        <w:t>.</w:t>
      </w:r>
    </w:p>
    <w:p w14:paraId="3B90BE8A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31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3AEA7DF0" w14:textId="77777777" w:rsidR="00214A63" w:rsidRPr="000B129E" w:rsidRDefault="00214A63" w:rsidP="001B7507">
      <w:pPr>
        <w:spacing w:after="0"/>
        <w:jc w:val="both"/>
        <w:rPr>
          <w:rFonts w:eastAsia="Times New Roman" w:cs="Times New Roman"/>
        </w:rPr>
      </w:pPr>
      <w:r w:rsidRPr="000B129E">
        <w:rPr>
          <w:rFonts w:eastAsia="Times New Roman" w:cs="Times New Roman"/>
        </w:rPr>
        <w:t>1.5 A</w:t>
      </w:r>
      <w:r w:rsidR="00AF3591" w:rsidRPr="000B129E">
        <w:rPr>
          <w:rStyle w:val="Odwoanieprzypisudolnego"/>
          <w:rFonts w:eastAsia="Times New Roman" w:cs="Times New Roman"/>
        </w:rPr>
        <w:footnoteReference w:id="32"/>
      </w:r>
      <w:r w:rsidRPr="000B129E">
        <w:rPr>
          <w:rFonts w:eastAsia="Times New Roman" w:cs="Times New Roman"/>
        </w:rPr>
        <w:t>:</w:t>
      </w:r>
    </w:p>
    <w:p w14:paraId="50EE36CE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5DB955C6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>
        <w:rPr>
          <w:rFonts w:ascii="Calibri" w:hAnsi="Calibri" w:cs="Calibri"/>
          <w:color w:val="000000"/>
        </w:rPr>
        <w:t>,</w:t>
      </w:r>
    </w:p>
    <w:p w14:paraId="2A1C7E13" w14:textId="77777777" w:rsidR="000B129E" w:rsidRDefault="000B129E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757967">
        <w:rPr>
          <w:rFonts w:ascii="Calibri" w:hAnsi="Calibri" w:cs="Calibri"/>
          <w:color w:val="000000"/>
        </w:rPr>
        <w:t>.</w:t>
      </w:r>
    </w:p>
    <w:p w14:paraId="221D5D05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  <w:color w:val="000000"/>
        </w:rPr>
      </w:pPr>
    </w:p>
    <w:p w14:paraId="5B86528B" w14:textId="77777777" w:rsidR="00AF3CDE" w:rsidRDefault="00AF3CDE" w:rsidP="00AF3CDE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1.5.D – dotyczy </w:t>
      </w:r>
      <w:bookmarkStart w:id="13" w:name="_Hlk92277846"/>
      <w:r>
        <w:rPr>
          <w:rFonts w:ascii="Calibri" w:hAnsi="Calibri" w:cs="Calibri"/>
          <w:color w:val="000000"/>
        </w:rPr>
        <w:t xml:space="preserve">naboru na zakup </w:t>
      </w:r>
      <w:r w:rsidR="00CD5B24">
        <w:rPr>
          <w:rFonts w:ascii="Calibri" w:hAnsi="Calibri" w:cs="Calibri"/>
          <w:color w:val="000000"/>
        </w:rPr>
        <w:t xml:space="preserve">ruchomych </w:t>
      </w:r>
      <w:r>
        <w:rPr>
          <w:rFonts w:ascii="Calibri" w:hAnsi="Calibri" w:cs="Calibri"/>
          <w:color w:val="000000"/>
        </w:rPr>
        <w:t>środków trwałych i WNiP:</w:t>
      </w:r>
      <w:bookmarkEnd w:id="13"/>
    </w:p>
    <w:p w14:paraId="4B199482" w14:textId="77777777" w:rsidR="00AF3CDE" w:rsidRPr="00AF3CDE" w:rsidRDefault="00AF3CDE" w:rsidP="00AF3CD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</w:t>
      </w:r>
      <w:r w:rsidR="00154A82">
        <w:rPr>
          <w:rFonts w:eastAsia="Times New Roman" w:cs="Times New Roman"/>
        </w:rPr>
        <w:t>:</w:t>
      </w:r>
    </w:p>
    <w:p w14:paraId="2F631C4A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 w:rsidR="00B66C8A">
        <w:rPr>
          <w:rFonts w:ascii="Calibri" w:hAnsi="Calibri" w:cs="Calibri"/>
          <w:color w:val="000000"/>
        </w:rPr>
        <w:t>,</w:t>
      </w:r>
    </w:p>
    <w:p w14:paraId="08410D4A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A427CD">
        <w:rPr>
          <w:rFonts w:ascii="Calibri" w:hAnsi="Calibri" w:cs="Calibri"/>
          <w:color w:val="000000"/>
        </w:rPr>
        <w:t xml:space="preserve"> </w:t>
      </w:r>
      <w:r w:rsidR="00A427CD" w:rsidRPr="00CD5B24">
        <w:rPr>
          <w:rFonts w:ascii="Calibri" w:hAnsi="Calibri" w:cs="Calibri"/>
          <w:color w:val="000000"/>
        </w:rPr>
        <w:t>(wraz z niezbędnymi kosztami wdrożenia)</w:t>
      </w:r>
      <w:r w:rsidR="00154A82" w:rsidRPr="00CD5B24">
        <w:rPr>
          <w:rFonts w:ascii="Calibri" w:hAnsi="Calibri" w:cs="Calibri"/>
          <w:color w:val="000000"/>
        </w:rPr>
        <w:t>.</w:t>
      </w:r>
    </w:p>
    <w:p w14:paraId="42A79185" w14:textId="77777777" w:rsidR="00550A69" w:rsidRPr="00A466E9" w:rsidRDefault="00550A69" w:rsidP="00A466E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</w:t>
      </w:r>
      <w:r w:rsidRPr="00DD0783">
        <w:rPr>
          <w:rFonts w:eastAsia="Times New Roman" w:cs="Times New Roman"/>
        </w:rPr>
        <w:t>kład niepieniężny</w:t>
      </w:r>
      <w:r w:rsidR="00DD581E">
        <w:rPr>
          <w:rFonts w:eastAsia="Times New Roman" w:cs="Times New Roman"/>
        </w:rPr>
        <w:t xml:space="preserve"> </w:t>
      </w:r>
      <w:r w:rsidR="00DD581E" w:rsidRPr="00DD0783">
        <w:rPr>
          <w:rFonts w:eastAsia="Times New Roman" w:cs="Times New Roman"/>
        </w:rPr>
        <w:t>stanowiący część wkładu własnego</w:t>
      </w:r>
      <w:r w:rsidR="00DD581E">
        <w:rPr>
          <w:rFonts w:eastAsia="Times New Roman" w:cs="Times New Roman"/>
        </w:rPr>
        <w:t>.</w:t>
      </w:r>
    </w:p>
    <w:p w14:paraId="318679A7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</w:rPr>
      </w:pPr>
    </w:p>
    <w:p w14:paraId="0EF5C972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063DE2B9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0F2F918D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2EEF867F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 xml:space="preserve">koszty utrzymania budynku stanowią łącznie wszystkie </w:t>
      </w:r>
      <w:r w:rsidR="009261C8" w:rsidRPr="00DD0783">
        <w:rPr>
          <w:rFonts w:eastAsia="Calibri" w:cs="Times New Roman"/>
          <w:lang w:eastAsia="en-US"/>
        </w:rPr>
        <w:lastRenderedPageBreak/>
        <w:t>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3607796C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57CA026B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33"/>
      </w:r>
      <w:r w:rsidR="00176EB7" w:rsidRPr="00DD0783">
        <w:rPr>
          <w:rFonts w:eastAsia="Calibri"/>
        </w:rPr>
        <w:t>.</w:t>
      </w:r>
    </w:p>
    <w:p w14:paraId="7BCBA912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4F220E7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689135CE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25CA0C7C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534DB30F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Odwoanieprzypisudolnego"/>
        </w:rPr>
        <w:footnoteReference w:id="34"/>
      </w:r>
      <w:r w:rsidRPr="00DD0783">
        <w:t>.</w:t>
      </w:r>
    </w:p>
    <w:p w14:paraId="66DB2143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7F97E6D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0180E98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498CBFD5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5"/>
      </w:r>
      <w:r w:rsidRPr="00DD0783">
        <w:rPr>
          <w:rFonts w:eastAsia="Times New Roman" w:cs="Times New Roman"/>
        </w:rPr>
        <w:t>.</w:t>
      </w:r>
    </w:p>
    <w:p w14:paraId="37A820A7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47F9768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48457E19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6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7"/>
      </w:r>
      <w:r w:rsidRPr="00DD0783">
        <w:rPr>
          <w:rFonts w:eastAsia="TTE1ABE920t00"/>
        </w:rPr>
        <w:t>.</w:t>
      </w:r>
    </w:p>
    <w:p w14:paraId="2D03697D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6F2A32B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8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556AA2C1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9"/>
      </w:r>
      <w:r w:rsidRPr="00DD0783">
        <w:t>.</w:t>
      </w:r>
    </w:p>
    <w:p w14:paraId="76F2A2F2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 xml:space="preserve">Wydatki na roboty budowlane nie związane bezpośrednio z poprawą efektywności energetycznej (np. nie wynikające z audytu, dot. remontu sanitariatów, zmiana układu </w:t>
      </w:r>
      <w:r w:rsidRPr="00DD0783">
        <w:rPr>
          <w:rFonts w:eastAsia="Times New Roman" w:cs="Times New Roman"/>
        </w:rPr>
        <w:lastRenderedPageBreak/>
        <w:t>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40"/>
      </w:r>
      <w:r w:rsidRPr="00DD0783">
        <w:rPr>
          <w:rFonts w:eastAsia="Times New Roman" w:cs="Times New Roman"/>
        </w:rPr>
        <w:t>.</w:t>
      </w:r>
    </w:p>
    <w:p w14:paraId="5562202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3077D33B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Odwoanieprzypisudolnego"/>
        </w:rPr>
        <w:footnoteReference w:id="41"/>
      </w:r>
      <w:r w:rsidR="00880E60">
        <w:t>.</w:t>
      </w:r>
    </w:p>
    <w:p w14:paraId="7FEF4337" w14:textId="77777777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18F28B72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42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2BDC4EA3" w14:textId="7A312C2A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</w:t>
      </w:r>
      <w:r w:rsidR="000C6121">
        <w:rPr>
          <w:rFonts w:eastAsia="Times New Roman" w:cs="Times New Roman"/>
        </w:rPr>
        <w:t xml:space="preserve"> w budynku</w:t>
      </w:r>
      <w:r w:rsidRPr="00DD0783">
        <w:rPr>
          <w:rFonts w:eastAsia="Times New Roman" w:cs="Times New Roman"/>
        </w:rPr>
        <w:t xml:space="preserve"> (nie wynikające z audytu</w:t>
      </w:r>
      <w:r w:rsidR="000C6121">
        <w:rPr>
          <w:rFonts w:eastAsia="Times New Roman" w:cs="Times New Roman"/>
        </w:rPr>
        <w:t>)</w:t>
      </w:r>
      <w:r w:rsidRPr="00DD0783">
        <w:rPr>
          <w:rFonts w:eastAsia="Times New Roman" w:cs="Times New Roman"/>
        </w:rPr>
        <w:t xml:space="preserve">, </w:t>
      </w:r>
      <w:r w:rsidR="000C6121" w:rsidRPr="000C6121">
        <w:rPr>
          <w:rFonts w:eastAsia="Times New Roman" w:cs="Times New Roman"/>
        </w:rPr>
        <w:t>zmiana układu pomieszczeń, wyposażenie pomieszczeń w meble, montaż urządzeń sanitarnych, remont klatki schodowej, wykończenie pomieszczeń</w:t>
      </w:r>
      <w:r w:rsidR="000C6121">
        <w:rPr>
          <w:rFonts w:eastAsia="Times New Roman" w:cs="Times New Roman"/>
        </w:rPr>
        <w:t>.</w:t>
      </w:r>
      <w:r w:rsidR="000C6121" w:rsidRPr="000C6121" w:rsidDel="000C6121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 xml:space="preserve"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</w:t>
      </w:r>
      <w:r w:rsidR="000C6121">
        <w:rPr>
          <w:rFonts w:cs="Arial"/>
        </w:rPr>
        <w:t>oraz ewentualne niezbędne prace odtworzeniowe.</w:t>
      </w:r>
      <w:r w:rsidR="000C6121" w:rsidRP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 xml:space="preserve">Zasada ta nie dotyczy również usprawnień na rzecz osób </w:t>
      </w:r>
      <w:r w:rsidR="000C6121" w:rsidRPr="000C6121">
        <w:rPr>
          <w:rFonts w:eastAsia="Times New Roman" w:cs="Times New Roman"/>
        </w:rPr>
        <w:t>z niepełnosprawnościami, związanych z realizacją koncepcji uniwersalnego projektowania, o której mowa w Wytycznych w zakresie realizacji zasady równości szans i niedyskryminacji, w tym dostępności dla osób z niepełnosprawnościami oraz zasady równości szans kobiet i mężczyzn w ramach funduszy unijnych na lata 2014-2020,tj.  poprzez zastosowanie różnego rodzaju technologii czy rozwiązań np. montaż windy, podjazdów, barierek lub inne udogodnienia. Prace budowlane w zakresie poprawy dostępności budynku będą prowadzone w zakresie proporcjonalnym i adekwatnym do  głównego  celu  projektu,  którym  pozostaje  poprawa efektywności  energetycznej  budynku.  Prace zwiększające dostępność wychodzące poza ten zakres nie będą kwalifikowalne.</w:t>
      </w:r>
      <w:r w:rsidR="000C6121" w:rsidRPr="000C6121" w:rsidDel="000C6121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618B2">
        <w:rPr>
          <w:rFonts w:eastAsia="Times New Roman" w:cs="Times New Roman"/>
        </w:rPr>
        <w:t>)</w:t>
      </w:r>
      <w:r w:rsidR="00880E60">
        <w:rPr>
          <w:rFonts w:eastAsia="Times New Roman" w:cs="Times New Roman"/>
        </w:rPr>
        <w:t>.</w:t>
      </w:r>
    </w:p>
    <w:p w14:paraId="3DC17BDC" w14:textId="77777777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43"/>
      </w:r>
    </w:p>
    <w:p w14:paraId="42B98D0D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6364F54D" w14:textId="32522DDF" w:rsidR="00283995" w:rsidRDefault="00283995" w:rsidP="00880E60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922722">
        <w:rPr>
          <w:rStyle w:val="Odwoanieprzypisudolnego"/>
        </w:rPr>
        <w:footnoteReference w:id="44"/>
      </w:r>
      <w:r w:rsidR="00F81534" w:rsidRPr="00E87DE3">
        <w:rPr>
          <w:vertAlign w:val="superscript"/>
        </w:rPr>
        <w:t>,</w:t>
      </w:r>
      <w:r w:rsidR="00F81534">
        <w:rPr>
          <w:rStyle w:val="Odwoanieprzypisudolnego"/>
        </w:rPr>
        <w:footnoteReference w:id="45"/>
      </w:r>
      <w:r w:rsidR="00825586">
        <w:t>.</w:t>
      </w:r>
      <w:r w:rsidR="00B04376">
        <w:t xml:space="preserve"> </w:t>
      </w:r>
    </w:p>
    <w:p w14:paraId="3323730D" w14:textId="77777777" w:rsidR="006D1FF9" w:rsidRDefault="0091185F" w:rsidP="00880E60">
      <w:pPr>
        <w:spacing w:after="0"/>
        <w:ind w:left="360"/>
        <w:jc w:val="both"/>
      </w:pPr>
      <w:r>
        <w:lastRenderedPageBreak/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720178A9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14:paraId="3D7EDB6A" w14:textId="77777777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46B43A43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0B2C047E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14:paraId="32B51BAF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68F3CE1B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6C36D139" w14:textId="77777777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</w:t>
      </w:r>
      <w:r w:rsidR="005A2D3C">
        <w:t> </w:t>
      </w:r>
      <w:r>
        <w:t>projekcie.</w:t>
      </w:r>
    </w:p>
    <w:p w14:paraId="0E057BBC" w14:textId="77777777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14:paraId="036890E0" w14:textId="77777777" w:rsidR="009C18C1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14:paraId="5D8A8FFB" w14:textId="77777777" w:rsidR="00C43638" w:rsidRPr="00C43638" w:rsidRDefault="00C43638" w:rsidP="00C43638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Odwoanieprzypisudolnego"/>
          <w:rFonts w:cs="Arial"/>
        </w:rPr>
        <w:footnoteReference w:id="46"/>
      </w:r>
    </w:p>
    <w:p w14:paraId="27C26946" w14:textId="77777777" w:rsidR="00C43638" w:rsidRPr="00DD0783" w:rsidRDefault="00C43638" w:rsidP="00E71C56">
      <w:pPr>
        <w:pStyle w:val="Akapitzlist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 xml:space="preserve">w tym dostępności dla osób z niepełnosprawnościami oraz zasady równości szans kobiet i mężczyzn w ramach </w:t>
      </w:r>
      <w:r w:rsidRPr="00782A35">
        <w:rPr>
          <w:rFonts w:cs="Arial"/>
          <w:i/>
        </w:rPr>
        <w:lastRenderedPageBreak/>
        <w:t>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bookmarkStart w:id="16" w:name="_Hlk29386816"/>
      <w:r w:rsidR="001678D7">
        <w:rPr>
          <w:rFonts w:cs="Arial"/>
          <w:iCs/>
        </w:rPr>
        <w:t xml:space="preserve"> (dla pojedynczego grantu również obowiązuje limit 10%)</w:t>
      </w:r>
      <w:bookmarkEnd w:id="16"/>
      <w:r w:rsidR="00EC68AE">
        <w:rPr>
          <w:rFonts w:cs="Arial"/>
          <w:iCs/>
        </w:rPr>
        <w:t>.</w:t>
      </w:r>
      <w:r w:rsidR="00EC68AE">
        <w:rPr>
          <w:rStyle w:val="Odwoanieprzypisudolnego"/>
          <w:rFonts w:cs="Arial"/>
          <w:iCs/>
        </w:rPr>
        <w:footnoteReference w:id="47"/>
      </w:r>
    </w:p>
    <w:p w14:paraId="684D7B25" w14:textId="77777777" w:rsidR="0010120B" w:rsidRDefault="0010120B" w:rsidP="001B7507">
      <w:pPr>
        <w:spacing w:after="0"/>
        <w:jc w:val="both"/>
        <w:rPr>
          <w:b/>
        </w:rPr>
      </w:pPr>
    </w:p>
    <w:p w14:paraId="7F7A16A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09C4DBB1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602CDE0E" w14:textId="77777777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344FA73D" w14:textId="77777777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8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>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6ECF9511" w14:textId="77777777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9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50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2C969913" w14:textId="77777777" w:rsidR="0097504F" w:rsidRPr="0097504F" w:rsidRDefault="0022532B" w:rsidP="0097504F">
      <w:pPr>
        <w:pStyle w:val="Akapitzlist"/>
        <w:numPr>
          <w:ilvl w:val="0"/>
          <w:numId w:val="10"/>
        </w:numPr>
        <w:jc w:val="both"/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97504F">
        <w:t>zgodnie z definicją z ustawy z dnia 20 czerwca 1997 r. Prawo o ruchu drogowym</w:t>
      </w:r>
      <w:r w:rsidR="00746B7B" w:rsidRPr="0097504F">
        <w:t>.</w:t>
      </w:r>
      <w:r w:rsidR="0009794A" w:rsidRPr="0097504F">
        <w:t xml:space="preserve"> </w:t>
      </w:r>
    </w:p>
    <w:p w14:paraId="287B36F6" w14:textId="77777777" w:rsidR="00A77673" w:rsidRPr="00746B7B" w:rsidRDefault="001113B7" w:rsidP="00026983">
      <w:pPr>
        <w:pStyle w:val="Akapitzlist"/>
        <w:spacing w:line="240" w:lineRule="auto"/>
        <w:ind w:left="360"/>
        <w:jc w:val="both"/>
        <w:rPr>
          <w:rFonts w:cs="Arial"/>
        </w:rPr>
      </w:pPr>
      <w:r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Pr="008D002F">
        <w:rPr>
          <w:rFonts w:cs="Arial"/>
        </w:rPr>
        <w:t>3.4 e</w:t>
      </w:r>
      <w:r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14:paraId="19F832AB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14:paraId="61BC7F8B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14:paraId="1775E4E5" w14:textId="77777777" w:rsidR="001113B7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14:paraId="20DAE02A" w14:textId="77777777" w:rsidR="001113B7" w:rsidRPr="00B43F6B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14:paraId="07D65CDD" w14:textId="77777777" w:rsidR="000E1A11" w:rsidRPr="0009794A" w:rsidRDefault="000E1A11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14:paraId="45B54734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56796337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09E02035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764041F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1A2F3065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1F6044D2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4B3CF39F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7C5AF19A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47F38ECA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65B9C04F" w14:textId="77777777" w:rsidR="00E74430" w:rsidRPr="00E74430" w:rsidRDefault="00A23F33" w:rsidP="00E74430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14:paraId="22138A3E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62AB2372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5A7BABB9" w14:textId="77777777"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14:paraId="5577B3D8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14:paraId="6C3B44ED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14:paraId="38D021AC" w14:textId="77777777" w:rsidR="00455244" w:rsidRPr="0028003C" w:rsidRDefault="00455244" w:rsidP="002F5739">
      <w:pPr>
        <w:pStyle w:val="Akapitzlist"/>
        <w:spacing w:after="0"/>
        <w:jc w:val="both"/>
        <w:rPr>
          <w:rFonts w:cs="Times New Roman"/>
        </w:rPr>
      </w:pPr>
    </w:p>
    <w:p w14:paraId="23A89AC7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16468F3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2BF149C3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62A77F53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4ECC89EA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17D3AC07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2E7B501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4BBCBAD4" w14:textId="77777777" w:rsidR="000F7BCE" w:rsidRDefault="00A23F33" w:rsidP="00B43F6B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22583880" w14:textId="77777777" w:rsidR="000E298A" w:rsidRPr="00D109AA" w:rsidRDefault="000F7BCE" w:rsidP="00B43F6B">
      <w:pPr>
        <w:pStyle w:val="Akapitzlist"/>
        <w:numPr>
          <w:ilvl w:val="0"/>
          <w:numId w:val="9"/>
        </w:numPr>
        <w:spacing w:after="0"/>
        <w:jc w:val="both"/>
      </w:pPr>
      <w:r>
        <w:lastRenderedPageBreak/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 xml:space="preserve">na zwiększenie dostępności do dofinansowywanej infrastruktury </w:t>
      </w:r>
      <w:r w:rsidR="001E5BD1">
        <w:t xml:space="preserve">w postaci </w:t>
      </w:r>
      <w:r w:rsidR="00A3315B">
        <w:t xml:space="preserve">szlaków </w:t>
      </w:r>
      <w:r w:rsidR="001E5BD1">
        <w:t>rowerowych</w:t>
      </w:r>
      <w:r w:rsidR="00B121F8">
        <w:t xml:space="preserve"> </w:t>
      </w:r>
      <w:r w:rsidR="001E5BD1">
        <w:t>– dot. schem</w:t>
      </w:r>
      <w:r w:rsidR="005D6DC1">
        <w:t>a</w:t>
      </w:r>
      <w:r w:rsidR="001E5BD1">
        <w:t>tu 4.4.H</w:t>
      </w:r>
      <w:r w:rsidR="000F6F00">
        <w:t>.</w:t>
      </w:r>
    </w:p>
    <w:p w14:paraId="2D7C460A" w14:textId="77777777" w:rsidR="00A3315B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na zakup rowerów, kajaków i innego sprzętu sportowo-rekreacyjnego</w:t>
      </w:r>
      <w:r w:rsidR="000E298A">
        <w:t xml:space="preserve"> – dot. schematu 4.4.H</w:t>
      </w:r>
      <w:r w:rsidR="000F6F00">
        <w:t>.</w:t>
      </w:r>
    </w:p>
    <w:p w14:paraId="1397C8AC" w14:textId="77777777" w:rsidR="000E298A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dot. budowy,</w:t>
      </w:r>
      <w:r w:rsidR="00CA66C1">
        <w:t xml:space="preserve"> przebudowy</w:t>
      </w:r>
      <w:r w:rsidR="00A3315B">
        <w:t xml:space="preserve"> wyposażenia obiektów handlowo-usługowych</w:t>
      </w:r>
      <w:r w:rsidR="000E298A">
        <w:t xml:space="preserve"> – dot. schematu 4.4.H</w:t>
      </w:r>
      <w:r w:rsidR="000F6F00">
        <w:t>.</w:t>
      </w:r>
    </w:p>
    <w:p w14:paraId="40FA3C8F" w14:textId="77777777" w:rsidR="000E298A" w:rsidRDefault="005C51F6" w:rsidP="000E298A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0E298A">
        <w:t>ydatki powyżej  5% całkowitych wydatków kwalifikowalnych na drogi dojazdowe do portów i/lub przystani – dot. schematu 4.4.H.</w:t>
      </w:r>
    </w:p>
    <w:p w14:paraId="5AF21E21" w14:textId="77777777" w:rsidR="001B7507" w:rsidRPr="00DD0783" w:rsidRDefault="001B7507" w:rsidP="00E0122E">
      <w:pPr>
        <w:spacing w:after="0"/>
        <w:jc w:val="both"/>
      </w:pPr>
    </w:p>
    <w:p w14:paraId="157AAC3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1E2D4D64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4AFEAA87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26E0D58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1A6CB01B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56ACAC49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51"/>
      </w:r>
      <w:r w:rsidRPr="00DD0783">
        <w:t xml:space="preserve"> można uznać za kwalifikowalne zgodnie z poniższymi regułami:</w:t>
      </w:r>
    </w:p>
    <w:p w14:paraId="395A5A5D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5A498690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51BC27EA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52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53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3A542189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 xml:space="preserve">urządzenia techniczne drogi (np. bariery ochronne, ogrodzenie drogi i inne urządzenia zabezpieczające przed wkroczeniem zwierząt na drogę, osłony przeciwolśnieniowe, osłony </w:t>
      </w:r>
      <w:r w:rsidRPr="00DD0783">
        <w:lastRenderedPageBreak/>
        <w:t>przeciwwietrzne) mogą stanowić wydatek kwalifikowalny do wysokości 25% wydatk</w:t>
      </w:r>
      <w:r w:rsidR="003B2988" w:rsidRPr="00DD0783">
        <w:t>ów kwalifikowalnych w projekcie;</w:t>
      </w:r>
    </w:p>
    <w:p w14:paraId="48976354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72CA7032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5B3F1078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1D67B16C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2E0E504E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762B928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00A14F3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4768A25C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42971C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14FF8444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4"/>
      </w:r>
      <w:r w:rsidRPr="00DD0783">
        <w:t>.</w:t>
      </w:r>
    </w:p>
    <w:p w14:paraId="2981E06C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5"/>
      </w:r>
      <w:r w:rsidRPr="00DD0783">
        <w:t xml:space="preserve"> – w 6.1 C, D, E.</w:t>
      </w:r>
    </w:p>
    <w:p w14:paraId="768B6027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5BF4BEF6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574EDAE0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072FB8B7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lastRenderedPageBreak/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56"/>
      </w:r>
      <w:r w:rsidRPr="00DD0783">
        <w:t>.</w:t>
      </w:r>
    </w:p>
    <w:p w14:paraId="4CCE0930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7"/>
      </w:r>
      <w:r w:rsidRPr="00DD0783">
        <w:t>.</w:t>
      </w:r>
    </w:p>
    <w:p w14:paraId="174365EF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0FAA4018" w14:textId="77777777" w:rsidR="00897BAD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  <w:r w:rsidR="00897BAD">
        <w:rPr>
          <w:b/>
        </w:rPr>
        <w:t xml:space="preserve"> </w:t>
      </w:r>
    </w:p>
    <w:p w14:paraId="11698A06" w14:textId="77777777" w:rsidR="00A23F33" w:rsidRPr="00DD0783" w:rsidRDefault="00897BAD" w:rsidP="001B7507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14:paraId="18E0CF97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03888B4E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14:paraId="2854F2B3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5DEF7BD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476DE302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5DAA94A6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741584B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789217B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8"/>
      </w:r>
      <w:r w:rsidRPr="00DD0783">
        <w:t>.</w:t>
      </w:r>
    </w:p>
    <w:p w14:paraId="17A54F7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9"/>
      </w:r>
      <w:r w:rsidRPr="00DD0783">
        <w:t>.</w:t>
      </w:r>
    </w:p>
    <w:p w14:paraId="3BE5EBFC" w14:textId="77777777" w:rsidR="00A23F3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60"/>
      </w:r>
      <w:r w:rsidRPr="00DD0783">
        <w:t>.</w:t>
      </w:r>
    </w:p>
    <w:p w14:paraId="7E9AEA06" w14:textId="77777777" w:rsidR="005953E3" w:rsidRDefault="005953E3" w:rsidP="004F19B4">
      <w:pPr>
        <w:pStyle w:val="Akapitzlist"/>
        <w:jc w:val="both"/>
      </w:pPr>
    </w:p>
    <w:p w14:paraId="1810F353" w14:textId="77777777"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14:paraId="5D537677" w14:textId="77777777" w:rsidR="00897BAD" w:rsidRPr="00DD0783" w:rsidRDefault="00897BAD" w:rsidP="00897BAD">
      <w:pPr>
        <w:pStyle w:val="Akapitzlist"/>
        <w:numPr>
          <w:ilvl w:val="0"/>
          <w:numId w:val="5"/>
        </w:numPr>
        <w:jc w:val="both"/>
      </w:pPr>
      <w:r w:rsidRPr="004F19B4">
        <w:lastRenderedPageBreak/>
        <w:t>Wydatki związane z zakupem sprzętu medycznego, na którym będą świadczone usługi medyczne odpłatne</w:t>
      </w:r>
      <w:r w:rsidRPr="00DD0783">
        <w:t>, generujące przychód w projekcie.</w:t>
      </w:r>
    </w:p>
    <w:p w14:paraId="65F49FBA" w14:textId="77777777" w:rsidR="00F5436C" w:rsidRPr="00F5436C" w:rsidRDefault="00835E34" w:rsidP="00FD7901">
      <w:pPr>
        <w:pStyle w:val="Akapitzlist"/>
        <w:numPr>
          <w:ilvl w:val="0"/>
          <w:numId w:val="5"/>
        </w:numPr>
        <w:jc w:val="both"/>
      </w:pPr>
      <w:r w:rsidRPr="004F19B4">
        <w:t>Wydatki wykraczające poza zakres rzeczowy ustalony z wojewodą dolnośląskim</w:t>
      </w:r>
      <w:r w:rsidR="00F5436C">
        <w:t xml:space="preserve"> (</w:t>
      </w:r>
      <w:r w:rsidR="00FD7901">
        <w:t>n</w:t>
      </w:r>
      <w:r w:rsidR="00FD7901" w:rsidRPr="00FD7901">
        <w:rPr>
          <w:rFonts w:ascii="Calibri" w:hAnsi="Calibri"/>
        </w:rPr>
        <w:t>ie dotyczy wydatków na podstawowe obowiązki informacyjne w ramach projektu</w:t>
      </w:r>
      <w:r w:rsidR="00F5436C">
        <w:rPr>
          <w:rFonts w:ascii="Calibri" w:hAnsi="Calibri"/>
        </w:rPr>
        <w:t>)</w:t>
      </w:r>
      <w:r w:rsidR="00F5436C" w:rsidRPr="00F5436C">
        <w:rPr>
          <w:rFonts w:ascii="Calibri" w:hAnsi="Calibri"/>
        </w:rPr>
        <w:t>.</w:t>
      </w:r>
    </w:p>
    <w:p w14:paraId="74A07D02" w14:textId="77777777" w:rsidR="004F19B4" w:rsidRPr="00DD0783" w:rsidRDefault="004F19B4" w:rsidP="003B2988">
      <w:pPr>
        <w:pStyle w:val="Akapitzlist"/>
        <w:jc w:val="both"/>
      </w:pPr>
    </w:p>
    <w:p w14:paraId="4BE898C8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353A0F97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61"/>
      </w:r>
      <w:r w:rsidRPr="00DD0783">
        <w:t>.</w:t>
      </w:r>
    </w:p>
    <w:p w14:paraId="0F74F305" w14:textId="77777777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9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62"/>
      </w:r>
      <w:r w:rsidR="003C461F" w:rsidRPr="00DD0783">
        <w:t xml:space="preserve"> </w:t>
      </w:r>
      <w:bookmarkEnd w:id="19"/>
      <w:r w:rsidR="00B27986">
        <w:t xml:space="preserve"> </w:t>
      </w:r>
      <w:r w:rsidRPr="00DD0783">
        <w:rPr>
          <w:vertAlign w:val="superscript"/>
        </w:rPr>
        <w:footnoteReference w:id="63"/>
      </w:r>
      <w:r w:rsidRPr="00DD0783">
        <w:t>.</w:t>
      </w:r>
      <w:bookmarkStart w:id="20" w:name="_Hlk493154503"/>
    </w:p>
    <w:p w14:paraId="149BAE28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64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65"/>
      </w:r>
      <w:r w:rsidRPr="00DD0783">
        <w:t xml:space="preserve">) </w:t>
      </w:r>
      <w:bookmarkEnd w:id="20"/>
      <w:r w:rsidRPr="00DD0783">
        <w:rPr>
          <w:rStyle w:val="Odwoanieprzypisudolnego"/>
        </w:rPr>
        <w:footnoteReference w:id="66"/>
      </w:r>
      <w:r w:rsidRPr="00DD0783">
        <w:t>.</w:t>
      </w:r>
    </w:p>
    <w:p w14:paraId="3374F5DF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7"/>
      </w:r>
      <w:r w:rsidR="00981291" w:rsidRPr="00DD0783">
        <w:t>.</w:t>
      </w:r>
    </w:p>
    <w:p w14:paraId="29092E7A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6048B637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60834926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279A299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603A908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14:paraId="41C82D0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3773CA5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70"/>
      </w:r>
      <w:r w:rsidRPr="00DD0783">
        <w:rPr>
          <w:rFonts w:eastAsia="Times New Roman" w:cs="Times New Roman"/>
        </w:rPr>
        <w:t>.</w:t>
      </w:r>
    </w:p>
    <w:p w14:paraId="70266E4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0D61919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2"/>
      </w:r>
      <w:r w:rsidRPr="00DD0783">
        <w:rPr>
          <w:rFonts w:eastAsia="Times New Roman" w:cs="Times New Roman"/>
        </w:rPr>
        <w:t>.</w:t>
      </w:r>
    </w:p>
    <w:p w14:paraId="731BABD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79D4535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3"/>
      </w:r>
      <w:r w:rsidRPr="00DD0783">
        <w:rPr>
          <w:rFonts w:eastAsia="Times New Roman" w:cs="Times New Roman"/>
        </w:rPr>
        <w:t>.</w:t>
      </w:r>
    </w:p>
    <w:p w14:paraId="3774C8EA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21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21"/>
      <w:r w:rsidR="00A23F33" w:rsidRPr="00DD0783">
        <w:rPr>
          <w:rFonts w:eastAsiaTheme="majorEastAsia" w:cstheme="majorBidi"/>
          <w:b/>
          <w:bCs/>
        </w:rPr>
        <w:t>:</w:t>
      </w:r>
    </w:p>
    <w:p w14:paraId="164C7780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0E912FB6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72E01428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74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75"/>
      </w:r>
      <w:r w:rsidRPr="00DD0783">
        <w:t>.</w:t>
      </w:r>
    </w:p>
    <w:p w14:paraId="197247D5" w14:textId="77777777" w:rsidR="00A23F3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2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6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7"/>
      </w:r>
      <w:r w:rsidRPr="00DD0783">
        <w:rPr>
          <w:rFonts w:eastAsia="Times New Roman" w:cs="Times New Roman"/>
        </w:rPr>
        <w:t>.</w:t>
      </w:r>
    </w:p>
    <w:p w14:paraId="503A6F40" w14:textId="77777777" w:rsidR="009828BB" w:rsidRPr="00DD0783" w:rsidRDefault="009828BB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3" w:name="_Hlk21428619"/>
      <w:bookmarkEnd w:id="22"/>
      <w:r w:rsidRPr="00DD0783">
        <w:rPr>
          <w:rFonts w:eastAsia="Times New Roman" w:cs="Times New Roman"/>
        </w:rPr>
        <w:lastRenderedPageBreak/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3"/>
      <w:r>
        <w:rPr>
          <w:rStyle w:val="Odwoanieprzypisudolnego"/>
          <w:rFonts w:eastAsia="Times New Roman" w:cs="Times New Roman"/>
        </w:rPr>
        <w:footnoteReference w:id="78"/>
      </w:r>
      <w:r>
        <w:rPr>
          <w:rFonts w:eastAsia="Times New Roman" w:cs="Times New Roman"/>
        </w:rPr>
        <w:t>.</w:t>
      </w:r>
    </w:p>
    <w:p w14:paraId="6CCABEEB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390B20F4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7AFBF38C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9"/>
      </w:r>
      <w:r w:rsidRPr="00DD0783">
        <w:rPr>
          <w:rFonts w:eastAsia="Times New Roman" w:cs="Times New Roman"/>
        </w:rPr>
        <w:t>.</w:t>
      </w:r>
    </w:p>
    <w:p w14:paraId="2EBB49EE" w14:textId="77777777"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14:paraId="621003E7" w14:textId="77777777"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14:paraId="3DFFDBFD" w14:textId="1F49E9E3" w:rsidR="005216DA" w:rsidRDefault="005216DA" w:rsidP="005216DA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>
        <w:rPr>
          <w:b/>
        </w:rPr>
        <w:t>12</w:t>
      </w:r>
      <w:r w:rsidRPr="00DD0783">
        <w:rPr>
          <w:b/>
        </w:rPr>
        <w:t>.</w:t>
      </w:r>
      <w:r>
        <w:rPr>
          <w:b/>
        </w:rPr>
        <w:t>1</w:t>
      </w:r>
      <w:r w:rsidRPr="002D6058">
        <w:rPr>
          <w:b/>
        </w:rPr>
        <w:t xml:space="preserve"> Zwiększenie jakości i dostępności usług zdrowotnych w walce z pandemią COVID-19</w:t>
      </w:r>
      <w:r>
        <w:rPr>
          <w:b/>
        </w:rPr>
        <w:t>:</w:t>
      </w:r>
    </w:p>
    <w:p w14:paraId="1BA750CE" w14:textId="3FD60EDF" w:rsidR="005216DA" w:rsidRPr="00DD0783" w:rsidRDefault="005216DA" w:rsidP="005216DA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12.A i 12.B</w:t>
      </w:r>
      <w:r w:rsidRPr="00DD0783">
        <w:rPr>
          <w:b/>
        </w:rPr>
        <w:t>:</w:t>
      </w:r>
    </w:p>
    <w:p w14:paraId="6A6C2F3A" w14:textId="77777777" w:rsidR="005216DA" w:rsidRPr="00DD0783" w:rsidRDefault="005216DA" w:rsidP="005216DA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535CA8EC" w14:textId="6C873E03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</w:t>
      </w:r>
    </w:p>
    <w:p w14:paraId="5A675BBE" w14:textId="4139E43E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</w:p>
    <w:p w14:paraId="4A3766F5" w14:textId="44CEB7DA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</w:t>
      </w:r>
      <w:r w:rsidR="00296A47">
        <w:t xml:space="preserve">określonych </w:t>
      </w:r>
      <w:r w:rsidRPr="00DD0783">
        <w:t>jednostek chorobowych</w:t>
      </w:r>
      <w:r w:rsidR="005939F6">
        <w:t>/poradni</w:t>
      </w:r>
      <w:r w:rsidRPr="00DD0783">
        <w:t xml:space="preserve">– </w:t>
      </w:r>
      <w:r w:rsidRPr="00DD0783">
        <w:rPr>
          <w:u w:val="single"/>
        </w:rPr>
        <w:t>szczegółowe uregulowania zawarte są w </w:t>
      </w:r>
      <w:r w:rsidR="00296A47">
        <w:rPr>
          <w:u w:val="single"/>
        </w:rPr>
        <w:t xml:space="preserve">dokumentacji konkursowej/pozakonkursowej </w:t>
      </w:r>
    </w:p>
    <w:p w14:paraId="58DABBC7" w14:textId="1BBAFD9D" w:rsidR="00296A47" w:rsidRPr="009A6C47" w:rsidRDefault="005216DA" w:rsidP="002D6058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</w:t>
      </w:r>
      <w:r w:rsidR="00296A47">
        <w:t xml:space="preserve">określonych </w:t>
      </w:r>
      <w:r w:rsidRPr="00DD0783">
        <w:t>jednostek chorobowych</w:t>
      </w:r>
      <w:r w:rsidR="005939F6">
        <w:t xml:space="preserve">/poradni </w:t>
      </w:r>
      <w:r w:rsidR="00FA03EA">
        <w:t xml:space="preserve"> </w:t>
      </w:r>
      <w:r w:rsidRPr="00DD0783">
        <w:t xml:space="preserve">– </w:t>
      </w:r>
      <w:r w:rsidRPr="00DD0783">
        <w:rPr>
          <w:u w:val="single"/>
        </w:rPr>
        <w:t xml:space="preserve">szczegółowe uregulowania zawarte są w </w:t>
      </w:r>
      <w:r w:rsidR="00296A47">
        <w:rPr>
          <w:u w:val="single"/>
        </w:rPr>
        <w:t xml:space="preserve">dokumentacji konkursowej/pozakonkursowej </w:t>
      </w:r>
    </w:p>
    <w:p w14:paraId="24C45438" w14:textId="544B2EAA" w:rsidR="005216DA" w:rsidRDefault="005216DA" w:rsidP="005216DA">
      <w:pPr>
        <w:pStyle w:val="Akapitzlist"/>
        <w:numPr>
          <w:ilvl w:val="0"/>
          <w:numId w:val="5"/>
        </w:numPr>
        <w:jc w:val="both"/>
      </w:pPr>
      <w:r w:rsidRPr="00F67A1B">
        <w:t>Wydatki związane z zakupem sprzętu medycznego, na którym będą świadczone usługi medyczne odpłatne, generujące przychód w projekcie.</w:t>
      </w:r>
    </w:p>
    <w:p w14:paraId="634A12E3" w14:textId="6BD49DD9" w:rsidR="00F67A1B" w:rsidRPr="00F67A1B" w:rsidRDefault="00F67A1B" w:rsidP="002D642D">
      <w:pPr>
        <w:pStyle w:val="Akapitzlist"/>
        <w:jc w:val="both"/>
      </w:pPr>
    </w:p>
    <w:p w14:paraId="1B72A9F5" w14:textId="59BA28FF" w:rsidR="00025329" w:rsidRDefault="00025329" w:rsidP="00F67081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14:paraId="43D39041" w14:textId="4A50D910" w:rsidR="005351BC" w:rsidRPr="00DD0783" w:rsidRDefault="005351BC" w:rsidP="005351BC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>
        <w:rPr>
          <w:b/>
        </w:rPr>
        <w:t xml:space="preserve">12.2 </w:t>
      </w:r>
      <w:r w:rsidRPr="005351BC">
        <w:rPr>
          <w:b/>
        </w:rPr>
        <w:t>Inwestycje przyczyniające się do ograniczania niskiej emisji</w:t>
      </w:r>
      <w:r w:rsidRPr="00DD0783">
        <w:rPr>
          <w:b/>
        </w:rPr>
        <w:t>:</w:t>
      </w:r>
    </w:p>
    <w:p w14:paraId="2651DA44" w14:textId="666ED0F4" w:rsidR="005351BC" w:rsidRPr="00DD0783" w:rsidRDefault="005351BC" w:rsidP="005351BC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>
        <w:t xml:space="preserve"> </w:t>
      </w:r>
    </w:p>
    <w:p w14:paraId="2D2F3593" w14:textId="410953B5" w:rsidR="005351BC" w:rsidRPr="00DD0783" w:rsidRDefault="005351BC" w:rsidP="005351BC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>
        <w:t xml:space="preserve"> </w:t>
      </w:r>
    </w:p>
    <w:p w14:paraId="02BE3D2F" w14:textId="16359F89" w:rsidR="005351BC" w:rsidRPr="009E58A1" w:rsidRDefault="005351BC" w:rsidP="005351BC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</w:t>
      </w:r>
      <w:r w:rsidR="003203C4">
        <w:rPr>
          <w:rFonts w:eastAsia="Times New Roman" w:cs="Times New Roman"/>
        </w:rPr>
        <w:t xml:space="preserve"> w budynku</w:t>
      </w:r>
      <w:r w:rsidRPr="00DD0783">
        <w:rPr>
          <w:rFonts w:eastAsia="Times New Roman" w:cs="Times New Roman"/>
        </w:rPr>
        <w:t xml:space="preserve"> (nie wynikające z audytu</w:t>
      </w:r>
      <w:r w:rsidR="003203C4">
        <w:rPr>
          <w:rFonts w:eastAsia="Times New Roman" w:cs="Times New Roman"/>
        </w:rPr>
        <w:t>)</w:t>
      </w:r>
      <w:r w:rsidRPr="00DD0783">
        <w:rPr>
          <w:rFonts w:eastAsia="Times New Roman" w:cs="Times New Roman"/>
        </w:rPr>
        <w:t xml:space="preserve">, </w:t>
      </w:r>
      <w:r w:rsidR="003203C4" w:rsidRPr="003203C4">
        <w:rPr>
          <w:rFonts w:eastAsia="Times New Roman" w:cs="Times New Roman"/>
        </w:rPr>
        <w:t>zmiana układu pomieszczeń, wyposażenie pomieszczeń w meble, montaż urządzeń sanitarnych, remont klatki schodowej, wykończenie pomieszczeń.</w:t>
      </w:r>
      <w:r w:rsidRPr="00DD0783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Pr="00283995">
        <w:rPr>
          <w:rFonts w:eastAsia="Times New Roman" w:cs="Times New Roman"/>
        </w:rPr>
        <w:t xml:space="preserve">Wyjątek stanowią wydatki na prace niezbędne do poprawy efektywności ale bezpośrednio z nią nie związane, bez których nie da się skutecznie zrealizować prac bezpośrednio związanych z poprawą efektywności, np. osuszenie ścian, naprawa i </w:t>
      </w:r>
      <w:r w:rsidRPr="00283995">
        <w:rPr>
          <w:rFonts w:eastAsia="Times New Roman" w:cs="Times New Roman"/>
        </w:rPr>
        <w:lastRenderedPageBreak/>
        <w:t xml:space="preserve">uzupełnienie ubytków przegrody przed zamocowaniem izolacji itp. </w:t>
      </w:r>
      <w:r w:rsidR="003203C4">
        <w:rPr>
          <w:rFonts w:eastAsia="Times New Roman" w:cs="Times New Roman"/>
        </w:rPr>
        <w:t xml:space="preserve">oraz ewentualne prace odtworzeniowe. </w:t>
      </w:r>
      <w:r w:rsidRPr="00283995">
        <w:rPr>
          <w:rFonts w:eastAsia="Times New Roman" w:cs="Times New Roman"/>
        </w:rPr>
        <w:t xml:space="preserve">Zasada ta nie dotyczy również usprawnień na rzecz osób </w:t>
      </w:r>
      <w:r w:rsidR="003203C4" w:rsidRPr="003203C4">
        <w:rPr>
          <w:rFonts w:eastAsia="Times New Roman" w:cs="Times New Roman"/>
        </w:rPr>
        <w:t>z niepełnosprawnościami, związanych z realizacją koncepcji uniwersalnego projektowania, o której mowa w Wytycznych w zakresie realizacji zasady równości szans i niedyskryminacji, w tym dostępności dla osób z niepełnosprawnościami oraz zasady równości szans kobiet i mężczyzn w ramach funduszy unijnych na lata 2014-2020,tj.  poprzez zastosowanie różnego rodzaju technologii czy rozwiązań np. montaż windy, podjazdów, barierek lub inne udogodnienia. Prace budowlane w zakresie poprawy dostępności budynku będą prowadzone w zakresie proporcjonalnym i adekwatnym do  głównego  celu  projektu,  którym  pozostaje  poprawa efektywności  energetycznej  budynku.  Prace zwiększające dostępność wychodzące poza ten zakres nie będą kwalifikowalne.</w:t>
      </w:r>
      <w:r>
        <w:rPr>
          <w:rFonts w:eastAsia="Times New Roman" w:cs="Times New Roman"/>
        </w:rPr>
        <w:t>.</w:t>
      </w:r>
    </w:p>
    <w:p w14:paraId="573DDF75" w14:textId="5AD21BEB" w:rsidR="005351BC" w:rsidRPr="009E58A1" w:rsidRDefault="005351BC" w:rsidP="005351BC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>
        <w:rPr>
          <w:rStyle w:val="Odwoanieprzypisudolnego"/>
          <w:rFonts w:eastAsia="Times New Roman" w:cs="Times New Roman"/>
        </w:rPr>
        <w:footnoteReference w:id="80"/>
      </w:r>
      <w:r>
        <w:rPr>
          <w:rFonts w:eastAsia="Times New Roman" w:cs="Times New Roman"/>
        </w:rPr>
        <w:t xml:space="preserve"> </w:t>
      </w:r>
      <w:r>
        <w:rPr>
          <w:rStyle w:val="Odwoanieprzypisudolnego"/>
          <w:rFonts w:eastAsia="Times New Roman" w:cs="Times New Roman"/>
        </w:rPr>
        <w:footnoteReference w:id="81"/>
      </w:r>
    </w:p>
    <w:p w14:paraId="7BB26BDC" w14:textId="77777777" w:rsidR="005351BC" w:rsidRPr="00283995" w:rsidRDefault="005351BC" w:rsidP="005351BC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06E0DE65" w14:textId="602C9C2F" w:rsidR="005351BC" w:rsidRDefault="005351BC" w:rsidP="005351BC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 i olejowe, bez względu na to, jakie normy spełniają</w:t>
      </w:r>
      <w:r w:rsidR="0065794F">
        <w:rPr>
          <w:rStyle w:val="Odwoanieprzypisudolnego"/>
        </w:rPr>
        <w:footnoteReference w:id="82"/>
      </w:r>
      <w:r w:rsidR="00922722">
        <w:t>.</w:t>
      </w:r>
    </w:p>
    <w:p w14:paraId="55C398C6" w14:textId="72FB2C09" w:rsidR="005351BC" w:rsidRDefault="005351BC" w:rsidP="005351BC">
      <w:pPr>
        <w:pStyle w:val="Akapitzlist"/>
        <w:tabs>
          <w:tab w:val="left" w:pos="5330"/>
        </w:tabs>
        <w:spacing w:line="240" w:lineRule="auto"/>
        <w:ind w:left="0"/>
        <w:jc w:val="both"/>
        <w:rPr>
          <w:b/>
        </w:rPr>
      </w:pPr>
    </w:p>
    <w:p w14:paraId="3DAA1441" w14:textId="77777777" w:rsidR="00600FB8" w:rsidRPr="00600FB8" w:rsidRDefault="00600FB8" w:rsidP="00600FB8">
      <w:pPr>
        <w:jc w:val="both"/>
        <w:rPr>
          <w:b/>
          <w:bCs/>
        </w:rPr>
      </w:pPr>
      <w:r w:rsidRPr="00600FB8">
        <w:rPr>
          <w:b/>
          <w:bCs/>
        </w:rPr>
        <w:t>12.3 Inwestycje wzmacniające MŚP z wychodzenia z pandemii COVID-19</w:t>
      </w:r>
    </w:p>
    <w:p w14:paraId="079D592C" w14:textId="3331D0FC" w:rsidR="00600FB8" w:rsidRDefault="00600FB8" w:rsidP="00600FB8">
      <w:pPr>
        <w:pStyle w:val="Akapitzlist"/>
        <w:jc w:val="both"/>
      </w:pPr>
      <w:r>
        <w:t>•</w:t>
      </w:r>
      <w:r>
        <w:tab/>
      </w:r>
      <w:r w:rsidR="007A2753">
        <w:t xml:space="preserve">katalog kosztów niekwalifikowalnych jak w zakresie schematu 1.5.D dotyczącego </w:t>
      </w:r>
      <w:r w:rsidR="007A2753" w:rsidRPr="007A2753">
        <w:t>naboru na zakup ruchomych środków trwałych i WNiP</w:t>
      </w:r>
      <w:r w:rsidR="007A2753">
        <w:t xml:space="preserve"> (zob. wyżej)</w:t>
      </w:r>
      <w:r w:rsidR="00287366">
        <w:t>.</w:t>
      </w:r>
      <w:r w:rsidR="007A2753">
        <w:t xml:space="preserve"> </w:t>
      </w:r>
    </w:p>
    <w:p w14:paraId="192B1496" w14:textId="3CB7DDFB" w:rsidR="00E52549" w:rsidRDefault="00E52549" w:rsidP="00600FB8">
      <w:pPr>
        <w:pStyle w:val="Akapitzlist"/>
        <w:jc w:val="both"/>
      </w:pPr>
    </w:p>
    <w:p w14:paraId="74CBB89A" w14:textId="77777777" w:rsidR="00E52549" w:rsidRDefault="00E52549" w:rsidP="00600FB8">
      <w:pPr>
        <w:pStyle w:val="Akapitzlist"/>
        <w:jc w:val="both"/>
      </w:pPr>
    </w:p>
    <w:p w14:paraId="68FE70DA" w14:textId="77777777" w:rsidR="00E52549" w:rsidRPr="00E52549" w:rsidRDefault="00E52549" w:rsidP="00E52549">
      <w:pPr>
        <w:rPr>
          <w:b/>
          <w:bCs/>
        </w:rPr>
      </w:pPr>
      <w:r w:rsidRPr="00E52549">
        <w:rPr>
          <w:b/>
          <w:bCs/>
        </w:rPr>
        <w:t>12.4 Inwestycje społeczne – długoterminowa integracja</w:t>
      </w:r>
    </w:p>
    <w:p w14:paraId="043C4453" w14:textId="77777777" w:rsidR="00E52549" w:rsidRPr="00E52549" w:rsidRDefault="00E52549" w:rsidP="00E52549">
      <w:pPr>
        <w:pStyle w:val="Akapitzlist"/>
        <w:numPr>
          <w:ilvl w:val="0"/>
          <w:numId w:val="4"/>
        </w:numPr>
      </w:pPr>
      <w:r w:rsidRPr="00E52549">
        <w:t>Wydatki poniesione przed 24.02.2022 r.</w:t>
      </w:r>
    </w:p>
    <w:p w14:paraId="1715D190" w14:textId="77777777" w:rsidR="00E52549" w:rsidRPr="00E52549" w:rsidRDefault="00E52549" w:rsidP="00E52549">
      <w:pPr>
        <w:pStyle w:val="Akapitzlist"/>
        <w:numPr>
          <w:ilvl w:val="0"/>
          <w:numId w:val="4"/>
        </w:numPr>
      </w:pPr>
      <w:r w:rsidRPr="00E52549">
        <w:t>Wydatki na zakup używanych środków trwałych.</w:t>
      </w:r>
    </w:p>
    <w:p w14:paraId="46C76D0D" w14:textId="77777777" w:rsidR="007A2753" w:rsidRPr="00600FB8" w:rsidRDefault="007A2753" w:rsidP="00600FB8">
      <w:pPr>
        <w:pStyle w:val="Akapitzlist"/>
        <w:jc w:val="both"/>
      </w:pPr>
    </w:p>
    <w:p w14:paraId="20C20382" w14:textId="77777777"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4E0D4EFE" w14:textId="77777777"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14:paraId="6F9C4C06" w14:textId="42B18804"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="00CB31C1">
        <w:rPr>
          <w:b/>
        </w:rPr>
        <w:t>/nadzwyczajnym</w:t>
      </w:r>
      <w:r w:rsidRPr="00AF3312">
        <w:rPr>
          <w:b/>
        </w:rPr>
        <w:t>.</w:t>
      </w:r>
    </w:p>
    <w:p w14:paraId="5A1D75A5" w14:textId="479E39FF"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 xml:space="preserve">li w ramach naboru przewiduje się zastosowanie stawki ryczałtowej dla wybranych kategorii kosztów, to są one kwalifikowalne wyłącznie w ramach tej stawki. Oznacza to, że nie ma możliwości </w:t>
      </w:r>
      <w:r w:rsidRPr="003B200E">
        <w:rPr>
          <w:b/>
        </w:rPr>
        <w:lastRenderedPageBreak/>
        <w:t>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="00CB31C1" w:rsidRPr="00CB31C1">
        <w:rPr>
          <w:b/>
        </w:rPr>
        <w:t>/nadzwyczajnym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14:paraId="37371156" w14:textId="77777777"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14:paraId="56A0D447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14:paraId="72FC7EEF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14:paraId="5B9E7A2E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14:paraId="69C20B27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432CC34" w14:textId="5E0F80D2"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</w:t>
      </w:r>
      <w:r w:rsidR="00CB31C1" w:rsidRPr="00CB31C1">
        <w:rPr>
          <w:b/>
        </w:rPr>
        <w:t>/nadzwyczajnym</w:t>
      </w:r>
      <w:r w:rsidRPr="00AF3312">
        <w:rPr>
          <w:b/>
        </w:rPr>
        <w:t>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14:paraId="3BD0DC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6A627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14:paraId="3F4FFA3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A400246" w14:textId="649C9D4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>koszty niezbędne do realizacji projektu, ale niedotyczące bezpośrednio głównego przedmiotu projektu, wskazane jako kwalifikowalne w regulaminie konkursu lub zasadach ubiegania się o wsparcie w trybie pozakonkursowym</w:t>
      </w:r>
      <w:r w:rsidR="00CB31C1" w:rsidRPr="00CB31C1">
        <w:rPr>
          <w:rFonts w:cs="Calibri"/>
        </w:rPr>
        <w:t>/nadzwyczajnym</w:t>
      </w:r>
      <w:r w:rsidR="00BA7DC6" w:rsidRPr="00BA7DC6">
        <w:rPr>
          <w:rFonts w:cs="Calibri"/>
        </w:rPr>
        <w:t xml:space="preserve">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14:paraId="04A42AE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90E699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14:paraId="28F5638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F8092F" w14:textId="77777777"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14:paraId="0E85336F" w14:textId="77777777"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14:paraId="2712D742" w14:textId="77777777" w:rsidR="00526548" w:rsidRPr="007C5B3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14:paraId="18D8BFB8" w14:textId="77777777" w:rsidR="0052654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lastRenderedPageBreak/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4E3FA6EC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14:paraId="7AF38499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14:paraId="6B32CBC1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14:paraId="16BF93CA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14:paraId="4E957CC8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14:paraId="57E0DAAC" w14:textId="77777777"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31E667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5D60E92A" w14:textId="77777777"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14:paraId="69DDD1B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14:paraId="7DC4258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14:paraId="68E1E059" w14:textId="21E8682D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>zarządzania projektem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14:paraId="3C68AAD9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14:paraId="166F0B9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14:paraId="3D1D7C7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14:paraId="2F3DF4A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14:paraId="76DF35FB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14:paraId="6C26C86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14:paraId="26E413A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16D3CD7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567DD3C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14:paraId="34323DB4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14:paraId="0675F604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14:paraId="766B9FD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14:paraId="19DFD147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14:paraId="3A6C4013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65E2E3FA" w14:textId="77777777"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14:paraId="4C50EE2C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14:paraId="57CDED97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1220B15F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0B413220" w14:textId="77777777"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5F2CBA55" w14:textId="77777777"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>de minimis</w:t>
      </w:r>
      <w:r w:rsidRPr="00BA7DC6">
        <w:rPr>
          <w:rFonts w:cs="Calibri"/>
        </w:rPr>
        <w:t>.</w:t>
      </w:r>
    </w:p>
    <w:p w14:paraId="51F53E5F" w14:textId="77777777" w:rsidR="00843D11" w:rsidRPr="007C5B38" w:rsidRDefault="00843D11" w:rsidP="009074A5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4866A72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14:paraId="2526E7B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09551C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cross-financing</w:t>
      </w:r>
      <w:r w:rsidRPr="007C5B38">
        <w:rPr>
          <w:rFonts w:cs="Calibri"/>
        </w:rPr>
        <w:t>.</w:t>
      </w:r>
    </w:p>
    <w:p w14:paraId="5B6FB68E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7BB4F4F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14:paraId="17DE6EDB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4B4F8347" w14:textId="77777777"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46C0BB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000A4BE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60F211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2D74EAA3" w14:textId="77777777"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95A45A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14:paraId="1730159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AB8A1DD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14:paraId="08265FA0" w14:textId="77777777"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2F236A" w14:textId="77777777" w:rsidR="002E341E" w:rsidRPr="002D3C6C" w:rsidRDefault="002E341E" w:rsidP="002E341E">
      <w:pPr>
        <w:pStyle w:val="Tekstprzypisukocowego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026E6C62" w14:textId="77777777"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1409B08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6885AED" w14:textId="77777777"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14:paraId="3814F87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78D845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14:paraId="2B1AC88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D8BFBD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14:paraId="3E488F2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0A8287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4E25A65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156B1F2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14:paraId="49975F1B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14:paraId="4F286846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C351A9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14:paraId="7C4B33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C0D65D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14:paraId="59085373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F76501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14:paraId="68EBA97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3D0568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5A934F6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14:paraId="605A19A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7B960EF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14:paraId="46C87BD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14:paraId="144388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D11" w14:paraId="716703F4" w14:textId="77777777" w:rsidTr="00843D11">
        <w:tc>
          <w:tcPr>
            <w:tcW w:w="9062" w:type="dxa"/>
          </w:tcPr>
          <w:p w14:paraId="7DD67718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14:paraId="27A3D35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2EED784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14:paraId="2FCEBDEB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14:paraId="2958A77B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491DDB9F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14:paraId="197F369C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stawka ryczałtowa w wysokości 10% jaką należy zastosować do wyliczenia wysokości kosztów pośrednich w projekcie (zgodnie z Regulaminem Konkursu)</w:t>
            </w:r>
          </w:p>
          <w:p w14:paraId="405EBBF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D5DBC8A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14:paraId="6016AA6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09370E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135F3F10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80306EE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14:paraId="372DA231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843D11" w14:paraId="69BD83A8" w14:textId="77777777" w:rsidTr="00F67081">
              <w:tc>
                <w:tcPr>
                  <w:tcW w:w="4606" w:type="dxa"/>
                </w:tcPr>
                <w:p w14:paraId="6CB4017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50A875D6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14:paraId="565440F6" w14:textId="77777777" w:rsidTr="00F67081">
              <w:tc>
                <w:tcPr>
                  <w:tcW w:w="4606" w:type="dxa"/>
                </w:tcPr>
                <w:p w14:paraId="2670B9F8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4D9B353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21EBE285" w14:textId="77777777" w:rsidTr="00F67081">
              <w:tc>
                <w:tcPr>
                  <w:tcW w:w="4606" w:type="dxa"/>
                </w:tcPr>
                <w:p w14:paraId="794D04FD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1AC5662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3A467456" w14:textId="77777777" w:rsidTr="00F67081">
              <w:tc>
                <w:tcPr>
                  <w:tcW w:w="4606" w:type="dxa"/>
                </w:tcPr>
                <w:p w14:paraId="715DDCAF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38E813A5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00AEF013" w14:textId="77777777" w:rsidTr="00F67081">
              <w:tc>
                <w:tcPr>
                  <w:tcW w:w="4606" w:type="dxa"/>
                </w:tcPr>
                <w:p w14:paraId="3BE9E773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14:paraId="1761095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14:paraId="523CAA3F" w14:textId="77777777"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14:paraId="7C5C0634" w14:textId="77777777"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Odwoaniedokomentarza"/>
              </w:rPr>
            </w:pPr>
          </w:p>
        </w:tc>
      </w:tr>
    </w:tbl>
    <w:p w14:paraId="180FACA4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2C5ED2F1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4CCF2657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1FEB9B0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14:paraId="642665D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01E895B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14:paraId="1E883922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B04955B" w14:textId="77777777"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14:paraId="29E2B341" w14:textId="77777777"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14:paraId="79038D5E" w14:textId="77777777"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lastRenderedPageBreak/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1853374D" w14:textId="77777777"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EA9C" w14:textId="77777777" w:rsidR="00C22E6E" w:rsidRDefault="00C22E6E" w:rsidP="00BA376B">
      <w:pPr>
        <w:spacing w:after="0" w:line="240" w:lineRule="auto"/>
      </w:pPr>
      <w:r>
        <w:separator/>
      </w:r>
    </w:p>
  </w:endnote>
  <w:endnote w:type="continuationSeparator" w:id="0">
    <w:p w14:paraId="629AD487" w14:textId="77777777" w:rsidR="00C22E6E" w:rsidRDefault="00C22E6E" w:rsidP="00BA376B">
      <w:pPr>
        <w:spacing w:after="0" w:line="240" w:lineRule="auto"/>
      </w:pPr>
      <w:r>
        <w:continuationSeparator/>
      </w:r>
    </w:p>
  </w:endnote>
  <w:endnote w:type="continuationNotice" w:id="1">
    <w:p w14:paraId="45ACA2DC" w14:textId="77777777" w:rsidR="00C22E6E" w:rsidRDefault="00C22E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Cambria"/>
    <w:charset w:val="00"/>
    <w:family w:val="auto"/>
    <w:pitch w:val="variable"/>
    <w:sig w:usb0="800002EF" w:usb1="1000E0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732661"/>
      <w:docPartObj>
        <w:docPartGallery w:val="Page Numbers (Bottom of Page)"/>
        <w:docPartUnique/>
      </w:docPartObj>
    </w:sdtPr>
    <w:sdtEndPr/>
    <w:sdtContent>
      <w:p w14:paraId="2A7AE4AD" w14:textId="77777777" w:rsidR="00C22E6E" w:rsidRDefault="00C22E6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7A39C2F" w14:textId="77777777" w:rsidR="00C22E6E" w:rsidRDefault="00C22E6E" w:rsidP="00DC41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5B0D" w14:textId="77777777" w:rsidR="00C22E6E" w:rsidRDefault="00C22E6E" w:rsidP="00BA376B">
      <w:pPr>
        <w:spacing w:after="0" w:line="240" w:lineRule="auto"/>
      </w:pPr>
      <w:r>
        <w:separator/>
      </w:r>
    </w:p>
  </w:footnote>
  <w:footnote w:type="continuationSeparator" w:id="0">
    <w:p w14:paraId="1EF64D19" w14:textId="77777777" w:rsidR="00C22E6E" w:rsidRDefault="00C22E6E" w:rsidP="00BA376B">
      <w:pPr>
        <w:spacing w:after="0" w:line="240" w:lineRule="auto"/>
      </w:pPr>
      <w:r>
        <w:continuationSeparator/>
      </w:r>
    </w:p>
  </w:footnote>
  <w:footnote w:type="continuationNotice" w:id="1">
    <w:p w14:paraId="7CC421C7" w14:textId="77777777" w:rsidR="00C22E6E" w:rsidRDefault="00C22E6E">
      <w:pPr>
        <w:spacing w:after="0" w:line="240" w:lineRule="auto"/>
      </w:pPr>
    </w:p>
  </w:footnote>
  <w:footnote w:id="2">
    <w:p w14:paraId="0E3F0519" w14:textId="77777777" w:rsidR="00C22E6E" w:rsidRPr="00013AFB" w:rsidRDefault="00C22E6E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3">
    <w:p w14:paraId="22B33BC4" w14:textId="77777777" w:rsidR="00C22E6E" w:rsidRDefault="00C22E6E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6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6"/>
    </w:p>
  </w:footnote>
  <w:footnote w:id="4">
    <w:p w14:paraId="5108A412" w14:textId="77777777" w:rsidR="00C22E6E" w:rsidRPr="00013AFB" w:rsidRDefault="00C22E6E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538B2685" w14:textId="77777777" w:rsidR="00C22E6E" w:rsidRPr="00013AFB" w:rsidRDefault="00C22E6E" w:rsidP="00013AFB">
      <w:pPr>
        <w:pStyle w:val="Tekstprzypisudolnego"/>
        <w:jc w:val="both"/>
        <w:rPr>
          <w:b/>
        </w:rPr>
      </w:pPr>
    </w:p>
  </w:footnote>
  <w:footnote w:id="5">
    <w:p w14:paraId="1C51B04F" w14:textId="6BF142D0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035B9">
        <w:t>P</w:t>
      </w:r>
      <w:r>
        <w:t>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 xml:space="preserve"> oraz w przypadku działań realizowanych na podstawie rozporządzenia REACT - EU</w:t>
      </w:r>
      <w:r w:rsidR="008035B9">
        <w:t>.</w:t>
      </w:r>
    </w:p>
  </w:footnote>
  <w:footnote w:id="6">
    <w:p w14:paraId="5B2CE643" w14:textId="75525B63" w:rsidR="002939FE" w:rsidRDefault="002939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39FE">
        <w:t>Przed 24 lutego 2022 r. - dla działania 12.4</w:t>
      </w:r>
    </w:p>
  </w:footnote>
  <w:footnote w:id="7">
    <w:p w14:paraId="04E58113" w14:textId="77777777" w:rsidR="00C22E6E" w:rsidRPr="00013AFB" w:rsidRDefault="00C22E6E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7395561E" w14:textId="77777777" w:rsidR="00C22E6E" w:rsidRPr="00013AFB" w:rsidRDefault="00C22E6E">
      <w:pPr>
        <w:pStyle w:val="Tekstprzypisudolnego"/>
      </w:pPr>
    </w:p>
  </w:footnote>
  <w:footnote w:id="8">
    <w:p w14:paraId="4315C126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9">
    <w:p w14:paraId="349F9936" w14:textId="77777777" w:rsidR="00C22E6E" w:rsidRPr="00013AFB" w:rsidRDefault="00C22E6E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10">
    <w:p w14:paraId="69C56E41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1">
    <w:p w14:paraId="562391F2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2">
    <w:p w14:paraId="2DA2E50E" w14:textId="77777777" w:rsidR="00C22E6E" w:rsidRPr="00013AFB" w:rsidRDefault="00C22E6E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3">
    <w:p w14:paraId="5D3A1264" w14:textId="77777777" w:rsidR="00C22E6E" w:rsidRPr="00013AFB" w:rsidRDefault="00C22E6E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4">
    <w:p w14:paraId="17E06B09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naborów do działania 1.1 ogłaszanych od października 2019 r. </w:t>
      </w:r>
    </w:p>
  </w:footnote>
  <w:footnote w:id="15">
    <w:p w14:paraId="1776F08B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6">
    <w:p w14:paraId="48F6C7C8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7" w:name="_Hlk493167426"/>
      <w:r w:rsidRPr="002E11F5">
        <w:t>Dla konkursów ogłaszanych od dnia 23.11.2015 r. – zapis nieobowiązujący.</w:t>
      </w:r>
      <w:bookmarkEnd w:id="7"/>
    </w:p>
  </w:footnote>
  <w:footnote w:id="17">
    <w:p w14:paraId="3E5B21D7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8">
    <w:p w14:paraId="492E1B4F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9">
    <w:p w14:paraId="08DA7640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20">
    <w:p w14:paraId="3FF732D7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9" w:name="_Hlk492628914"/>
      <w:r w:rsidRPr="002E11F5">
        <w:t>Dotyczy konkursów ogłaszanych od dnia 28.12.2015 r.</w:t>
      </w:r>
      <w:bookmarkEnd w:id="9"/>
      <w:r w:rsidRPr="002E11F5">
        <w:t xml:space="preserve"> Dla konkursów ogłaszanych przed 28.12.2015 r. – zapis nieobowiązujący.</w:t>
      </w:r>
    </w:p>
  </w:footnote>
  <w:footnote w:id="21">
    <w:p w14:paraId="096647C9" w14:textId="77777777" w:rsidR="00C22E6E" w:rsidRPr="00013AFB" w:rsidRDefault="00C22E6E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22">
    <w:p w14:paraId="33DCB027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3">
    <w:p w14:paraId="345EA29C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4">
    <w:p w14:paraId="2D90F75E" w14:textId="77777777" w:rsidR="00C22E6E" w:rsidRPr="002E11F5" w:rsidRDefault="00C22E6E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5">
    <w:p w14:paraId="2D6E8992" w14:textId="77777777" w:rsidR="00C22E6E" w:rsidRPr="00013AFB" w:rsidRDefault="00C22E6E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6">
    <w:p w14:paraId="04A07744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2" w:name="_Hlk493575490"/>
      <w:r w:rsidRPr="00013AFB">
        <w:t>Dotyczy konkursów ogłaszanych od dnia 28.12.2015 r. Dla konkursów ogłaszanych przed 28.12.2015 r. – zapis nieobowiązujący.</w:t>
      </w:r>
      <w:bookmarkEnd w:id="12"/>
    </w:p>
  </w:footnote>
  <w:footnote w:id="27">
    <w:p w14:paraId="1B0C1B49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8">
    <w:p w14:paraId="3A7F801C" w14:textId="77777777" w:rsidR="00C22E6E" w:rsidRPr="00013AFB" w:rsidRDefault="00C22E6E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9">
    <w:p w14:paraId="48627BAD" w14:textId="77777777" w:rsidR="00C22E6E" w:rsidRPr="00013AFB" w:rsidRDefault="00C22E6E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30">
    <w:p w14:paraId="052F7CF5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1">
    <w:p w14:paraId="09D9861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2">
    <w:p w14:paraId="78F90374" w14:textId="282C3AA7" w:rsidR="00C22E6E" w:rsidRDefault="00C22E6E" w:rsidP="002B26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  <w:r>
        <w:rPr>
          <w:rFonts w:eastAsia="Times New Roman" w:cs="Times New Roman"/>
        </w:rPr>
        <w:t xml:space="preserve"> oraz konkursu ogłoszonego w dniu 22.09.2020 r., a także konkursu ogłaszanego w dniu 6 lipca 2021 r.</w:t>
      </w:r>
    </w:p>
  </w:footnote>
  <w:footnote w:id="33">
    <w:p w14:paraId="04066BB6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4">
    <w:p w14:paraId="055ECE4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5">
    <w:p w14:paraId="211B62BD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6">
    <w:p w14:paraId="32A7BF4F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7">
    <w:p w14:paraId="6862FA96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8">
    <w:p w14:paraId="383431DF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9">
    <w:p w14:paraId="456A08A2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40">
    <w:p w14:paraId="0FDA19C7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41">
    <w:p w14:paraId="3D1BA27D" w14:textId="77777777" w:rsidR="00C22E6E" w:rsidRDefault="00C22E6E" w:rsidP="00E0122E">
      <w:pPr>
        <w:pStyle w:val="Tekstprzypisudolnego"/>
        <w:tabs>
          <w:tab w:val="left" w:pos="5490"/>
        </w:tabs>
      </w:pPr>
      <w:r>
        <w:rPr>
          <w:rStyle w:val="Odwoanieprzypisudolnego"/>
        </w:rPr>
        <w:footnoteRef/>
      </w:r>
      <w:r>
        <w:t xml:space="preserve"> </w:t>
      </w:r>
      <w:bookmarkStart w:id="15" w:name="_Hlk39495532"/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>nych od</w:t>
      </w:r>
      <w:r>
        <w:t xml:space="preserve"> dnia</w:t>
      </w:r>
      <w:r w:rsidRPr="001678D7">
        <w:t xml:space="preserve"> 30</w:t>
      </w:r>
      <w:r>
        <w:t>.10.</w:t>
      </w:r>
      <w:r w:rsidRPr="001678D7">
        <w:t>2019 r.</w:t>
      </w:r>
      <w:bookmarkEnd w:id="15"/>
    </w:p>
  </w:footnote>
  <w:footnote w:id="42">
    <w:p w14:paraId="68355BEA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43">
    <w:p w14:paraId="62141D49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44">
    <w:p w14:paraId="4858B056" w14:textId="108650C0" w:rsidR="00922722" w:rsidRDefault="009227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1534">
        <w:t xml:space="preserve">Nie dotyczy </w:t>
      </w:r>
      <w:r>
        <w:t xml:space="preserve">konkursów ogłaszanych od dnia </w:t>
      </w:r>
      <w:r w:rsidR="00F81534">
        <w:t>15.10.2018 r. do dnia 26.04.</w:t>
      </w:r>
      <w:r>
        <w:t>2022 r.</w:t>
      </w:r>
    </w:p>
  </w:footnote>
  <w:footnote w:id="45">
    <w:p w14:paraId="42E3EB09" w14:textId="1C9C8294" w:rsidR="00F81534" w:rsidRDefault="00F81534" w:rsidP="00F81534">
      <w:pPr>
        <w:pStyle w:val="Tekstprzypisudolnego"/>
      </w:pPr>
      <w:r>
        <w:rPr>
          <w:rStyle w:val="Odwoanieprzypisudolnego"/>
        </w:rPr>
        <w:footnoteRef/>
      </w:r>
      <w:r>
        <w:t xml:space="preserve"> Dla typu 3.3 d – zgodnie z zapisami Strategii Inwestycyjnej dla Instrumentów Finansowych w Regionalnym Programie Operacyjnym Województwa Dolnośląskiego 2014-2020</w:t>
      </w:r>
    </w:p>
  </w:footnote>
  <w:footnote w:id="46">
    <w:p w14:paraId="7CF99388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7">
    <w:p w14:paraId="0D9DD4C0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8">
    <w:p w14:paraId="7AF78577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7" w:name="_Hlk520105575"/>
      <w:r w:rsidRPr="00013AFB">
        <w:t xml:space="preserve">Dla konkursów ogłoszonych przed 16.01.2017 r.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bookmarkEnd w:id="17"/>
    </w:p>
  </w:footnote>
  <w:footnote w:id="49">
    <w:p w14:paraId="04C81D85" w14:textId="77777777" w:rsidR="00C22E6E" w:rsidRPr="00BF181E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Pr="00E0122E">
        <w:t xml:space="preserve">oraz dla konkursu RPDS.03.04.04-IP.03-02-248/17 </w:t>
      </w:r>
      <w:r w:rsidRPr="00F8764D">
        <w:t>– 50</w:t>
      </w:r>
      <w:r w:rsidRPr="00BF181E">
        <w:t>%.</w:t>
      </w:r>
    </w:p>
  </w:footnote>
  <w:footnote w:id="50">
    <w:p w14:paraId="0C213164" w14:textId="77777777" w:rsidR="00C22E6E" w:rsidRPr="00013AFB" w:rsidRDefault="00C22E6E">
      <w:pPr>
        <w:pStyle w:val="Tekstprzypisudolnego"/>
      </w:pPr>
      <w:r w:rsidRPr="00BF181E">
        <w:rPr>
          <w:rStyle w:val="Odwoanieprzypisudolnego"/>
        </w:rPr>
        <w:footnoteRef/>
      </w:r>
      <w:r w:rsidRPr="00BF181E">
        <w:t xml:space="preserve"> Dla konkursów ogłoszonych przed 16.01.2017 r</w:t>
      </w:r>
      <w:r w:rsidRPr="00F8764D">
        <w:t xml:space="preserve">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r>
        <w:t xml:space="preserve"> </w:t>
      </w:r>
      <w:bookmarkStart w:id="18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8"/>
    </w:p>
  </w:footnote>
  <w:footnote w:id="51">
    <w:p w14:paraId="70707409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2">
    <w:p w14:paraId="25206BA4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3">
    <w:p w14:paraId="67CE3B7B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4">
    <w:p w14:paraId="6DCCD3C5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5">
    <w:p w14:paraId="65E5109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6">
    <w:p w14:paraId="1FBA83F1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7">
    <w:p w14:paraId="51647D8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8">
    <w:p w14:paraId="1730A11A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9">
    <w:p w14:paraId="3FA11BFE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60">
    <w:p w14:paraId="22BBA5EF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61">
    <w:p w14:paraId="13D98051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2">
    <w:p w14:paraId="1A1C69A3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3">
    <w:p w14:paraId="4F0D4D42" w14:textId="77777777" w:rsidR="00C22E6E" w:rsidRPr="00042236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4">
    <w:p w14:paraId="4C59BBE9" w14:textId="77777777" w:rsidR="00C22E6E" w:rsidRPr="00042236" w:rsidRDefault="00C22E6E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65">
    <w:p w14:paraId="298AB8CE" w14:textId="77777777" w:rsidR="00C22E6E" w:rsidRPr="00042236" w:rsidRDefault="00C22E6E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6">
    <w:p w14:paraId="49E08489" w14:textId="77777777" w:rsidR="00C22E6E" w:rsidRPr="00042236" w:rsidRDefault="00C22E6E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7">
    <w:p w14:paraId="45496378" w14:textId="77777777" w:rsidR="00C22E6E" w:rsidRPr="00042236" w:rsidRDefault="00C22E6E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8">
    <w:p w14:paraId="2B79DB6C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9">
    <w:p w14:paraId="7CE37621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70">
    <w:p w14:paraId="3D37BD29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71">
    <w:p w14:paraId="1E609A66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2">
    <w:p w14:paraId="7B0FFFFC" w14:textId="77777777" w:rsidR="00C22E6E" w:rsidRPr="00013AFB" w:rsidRDefault="00C22E6E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3">
    <w:p w14:paraId="2FDC6AF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4">
    <w:p w14:paraId="35FF9E41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5">
    <w:p w14:paraId="2A670360" w14:textId="77777777" w:rsidR="00C22E6E" w:rsidRDefault="00C22E6E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6">
    <w:p w14:paraId="4CF9329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7">
    <w:p w14:paraId="0F16DE51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8">
    <w:p w14:paraId="7B5B8EE2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9">
    <w:p w14:paraId="02855C8E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80">
    <w:p w14:paraId="2FECD30B" w14:textId="12CC2C46" w:rsidR="00C22E6E" w:rsidRDefault="00C22E6E" w:rsidP="005351BC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81">
    <w:p w14:paraId="356FBE80" w14:textId="4F578532" w:rsidR="00C22E6E" w:rsidRDefault="00C22E6E">
      <w:pPr>
        <w:pStyle w:val="Tekstprzypisudolnego"/>
      </w:pPr>
      <w:r w:rsidRPr="002D6058">
        <w:rPr>
          <w:rStyle w:val="Odwoanieprzypisudolnego"/>
        </w:rPr>
        <w:footnoteRef/>
      </w:r>
      <w:r w:rsidRPr="002D6058">
        <w:t xml:space="preserve"> W przypadku projektów przenoszonych z osi 3 Gospodarka niskoemisyjna dot. konkursu ogłoszonego w ramach tej osi</w:t>
      </w:r>
    </w:p>
  </w:footnote>
  <w:footnote w:id="82">
    <w:p w14:paraId="3B5894D1" w14:textId="006BFB89" w:rsidR="0065794F" w:rsidRDefault="0065794F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</w:t>
      </w:r>
      <w:r w:rsidR="00566E9B">
        <w:t>26.04.</w:t>
      </w:r>
      <w:r>
        <w:t>2022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2FB8" w14:textId="77777777" w:rsidR="00C22E6E" w:rsidRDefault="00C22E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60F0F17"/>
    <w:multiLevelType w:val="hybridMultilevel"/>
    <w:tmpl w:val="3D1A7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5634"/>
    <w:multiLevelType w:val="hybridMultilevel"/>
    <w:tmpl w:val="91167C26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56939"/>
    <w:multiLevelType w:val="hybridMultilevel"/>
    <w:tmpl w:val="DFB23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6151D"/>
    <w:multiLevelType w:val="hybridMultilevel"/>
    <w:tmpl w:val="4C106EB0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7DE"/>
    <w:multiLevelType w:val="hybridMultilevel"/>
    <w:tmpl w:val="F2728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6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80BF6"/>
    <w:multiLevelType w:val="hybridMultilevel"/>
    <w:tmpl w:val="182A5852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419E6"/>
    <w:multiLevelType w:val="hybridMultilevel"/>
    <w:tmpl w:val="65B0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559183">
    <w:abstractNumId w:val="15"/>
  </w:num>
  <w:num w:numId="2" w16cid:durableId="1977295182">
    <w:abstractNumId w:val="5"/>
  </w:num>
  <w:num w:numId="3" w16cid:durableId="1274556235">
    <w:abstractNumId w:val="13"/>
  </w:num>
  <w:num w:numId="4" w16cid:durableId="609359908">
    <w:abstractNumId w:val="4"/>
  </w:num>
  <w:num w:numId="5" w16cid:durableId="1173491015">
    <w:abstractNumId w:val="1"/>
  </w:num>
  <w:num w:numId="6" w16cid:durableId="505369144">
    <w:abstractNumId w:val="18"/>
  </w:num>
  <w:num w:numId="7" w16cid:durableId="1419673381">
    <w:abstractNumId w:val="0"/>
  </w:num>
  <w:num w:numId="8" w16cid:durableId="319385293">
    <w:abstractNumId w:val="11"/>
  </w:num>
  <w:num w:numId="9" w16cid:durableId="1766800218">
    <w:abstractNumId w:val="41"/>
  </w:num>
  <w:num w:numId="10" w16cid:durableId="2060200897">
    <w:abstractNumId w:val="28"/>
  </w:num>
  <w:num w:numId="11" w16cid:durableId="572817375">
    <w:abstractNumId w:val="21"/>
  </w:num>
  <w:num w:numId="12" w16cid:durableId="2142454531">
    <w:abstractNumId w:val="19"/>
  </w:num>
  <w:num w:numId="13" w16cid:durableId="787820410">
    <w:abstractNumId w:val="38"/>
  </w:num>
  <w:num w:numId="14" w16cid:durableId="704213024">
    <w:abstractNumId w:val="9"/>
  </w:num>
  <w:num w:numId="15" w16cid:durableId="1048140465">
    <w:abstractNumId w:val="32"/>
  </w:num>
  <w:num w:numId="16" w16cid:durableId="1396317052">
    <w:abstractNumId w:val="36"/>
  </w:num>
  <w:num w:numId="17" w16cid:durableId="1743480546">
    <w:abstractNumId w:val="34"/>
  </w:num>
  <w:num w:numId="18" w16cid:durableId="1935287178">
    <w:abstractNumId w:val="40"/>
  </w:num>
  <w:num w:numId="19" w16cid:durableId="903221951">
    <w:abstractNumId w:val="26"/>
  </w:num>
  <w:num w:numId="20" w16cid:durableId="508713486">
    <w:abstractNumId w:val="16"/>
  </w:num>
  <w:num w:numId="21" w16cid:durableId="1212887513">
    <w:abstractNumId w:val="7"/>
  </w:num>
  <w:num w:numId="22" w16cid:durableId="1395738460">
    <w:abstractNumId w:val="2"/>
  </w:num>
  <w:num w:numId="23" w16cid:durableId="1126041607">
    <w:abstractNumId w:val="31"/>
  </w:num>
  <w:num w:numId="24" w16cid:durableId="715277558">
    <w:abstractNumId w:val="37"/>
  </w:num>
  <w:num w:numId="25" w16cid:durableId="1007244549">
    <w:abstractNumId w:val="8"/>
  </w:num>
  <w:num w:numId="26" w16cid:durableId="451169172">
    <w:abstractNumId w:val="35"/>
  </w:num>
  <w:num w:numId="27" w16cid:durableId="1475677581">
    <w:abstractNumId w:val="17"/>
  </w:num>
  <w:num w:numId="28" w16cid:durableId="531266331">
    <w:abstractNumId w:val="22"/>
  </w:num>
  <w:num w:numId="29" w16cid:durableId="410082445">
    <w:abstractNumId w:val="44"/>
  </w:num>
  <w:num w:numId="30" w16cid:durableId="332033413">
    <w:abstractNumId w:val="43"/>
  </w:num>
  <w:num w:numId="31" w16cid:durableId="1711295246">
    <w:abstractNumId w:val="0"/>
  </w:num>
  <w:num w:numId="32" w16cid:durableId="1598444698">
    <w:abstractNumId w:val="10"/>
  </w:num>
  <w:num w:numId="33" w16cid:durableId="415174613">
    <w:abstractNumId w:val="29"/>
  </w:num>
  <w:num w:numId="34" w16cid:durableId="1151601802">
    <w:abstractNumId w:val="6"/>
  </w:num>
  <w:num w:numId="35" w16cid:durableId="1523082906">
    <w:abstractNumId w:val="33"/>
  </w:num>
  <w:num w:numId="36" w16cid:durableId="1753621901">
    <w:abstractNumId w:val="45"/>
  </w:num>
  <w:num w:numId="37" w16cid:durableId="1986859065">
    <w:abstractNumId w:val="23"/>
  </w:num>
  <w:num w:numId="38" w16cid:durableId="464785087">
    <w:abstractNumId w:val="30"/>
  </w:num>
  <w:num w:numId="39" w16cid:durableId="1404642931">
    <w:abstractNumId w:val="25"/>
  </w:num>
  <w:num w:numId="40" w16cid:durableId="1108308807">
    <w:abstractNumId w:val="42"/>
  </w:num>
  <w:num w:numId="41" w16cid:durableId="812217167">
    <w:abstractNumId w:val="24"/>
  </w:num>
  <w:num w:numId="42" w16cid:durableId="1157107744">
    <w:abstractNumId w:val="27"/>
  </w:num>
  <w:num w:numId="43" w16cid:durableId="1760327769">
    <w:abstractNumId w:val="3"/>
  </w:num>
  <w:num w:numId="44" w16cid:durableId="641346762">
    <w:abstractNumId w:val="14"/>
  </w:num>
  <w:num w:numId="45" w16cid:durableId="585647194">
    <w:abstractNumId w:val="12"/>
  </w:num>
  <w:num w:numId="46" w16cid:durableId="1207763323">
    <w:abstractNumId w:val="20"/>
  </w:num>
  <w:num w:numId="47" w16cid:durableId="509638233">
    <w:abstractNumId w:val="36"/>
  </w:num>
  <w:num w:numId="48" w16cid:durableId="2049405355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6B"/>
    <w:rsid w:val="00000C17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17E28"/>
    <w:rsid w:val="0002135C"/>
    <w:rsid w:val="000246BF"/>
    <w:rsid w:val="0002527B"/>
    <w:rsid w:val="00025329"/>
    <w:rsid w:val="00025963"/>
    <w:rsid w:val="00026983"/>
    <w:rsid w:val="0003417B"/>
    <w:rsid w:val="0003532D"/>
    <w:rsid w:val="000371D5"/>
    <w:rsid w:val="00042236"/>
    <w:rsid w:val="00052188"/>
    <w:rsid w:val="00052964"/>
    <w:rsid w:val="00052D63"/>
    <w:rsid w:val="000543A5"/>
    <w:rsid w:val="00060332"/>
    <w:rsid w:val="000608D2"/>
    <w:rsid w:val="000659B6"/>
    <w:rsid w:val="00066EE6"/>
    <w:rsid w:val="0008176A"/>
    <w:rsid w:val="000824FA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A7F5D"/>
    <w:rsid w:val="000B01E1"/>
    <w:rsid w:val="000B0270"/>
    <w:rsid w:val="000B05FD"/>
    <w:rsid w:val="000B129E"/>
    <w:rsid w:val="000B469C"/>
    <w:rsid w:val="000B4D29"/>
    <w:rsid w:val="000C3A67"/>
    <w:rsid w:val="000C582F"/>
    <w:rsid w:val="000C6121"/>
    <w:rsid w:val="000C763D"/>
    <w:rsid w:val="000D0455"/>
    <w:rsid w:val="000D0C61"/>
    <w:rsid w:val="000D1933"/>
    <w:rsid w:val="000D51E7"/>
    <w:rsid w:val="000E0CA5"/>
    <w:rsid w:val="000E1A11"/>
    <w:rsid w:val="000E1DB0"/>
    <w:rsid w:val="000E2650"/>
    <w:rsid w:val="000E298A"/>
    <w:rsid w:val="000E7698"/>
    <w:rsid w:val="000F001B"/>
    <w:rsid w:val="000F27B2"/>
    <w:rsid w:val="000F49C6"/>
    <w:rsid w:val="000F6F00"/>
    <w:rsid w:val="000F7BBA"/>
    <w:rsid w:val="000F7BCE"/>
    <w:rsid w:val="0010120B"/>
    <w:rsid w:val="00101EF8"/>
    <w:rsid w:val="00102803"/>
    <w:rsid w:val="00102960"/>
    <w:rsid w:val="00102DDD"/>
    <w:rsid w:val="00103C88"/>
    <w:rsid w:val="00105CE8"/>
    <w:rsid w:val="00106049"/>
    <w:rsid w:val="00107FC0"/>
    <w:rsid w:val="001113B7"/>
    <w:rsid w:val="001116F8"/>
    <w:rsid w:val="00111E58"/>
    <w:rsid w:val="00112C79"/>
    <w:rsid w:val="00113C5E"/>
    <w:rsid w:val="001145A6"/>
    <w:rsid w:val="001149C0"/>
    <w:rsid w:val="00117082"/>
    <w:rsid w:val="001213D3"/>
    <w:rsid w:val="00122E9E"/>
    <w:rsid w:val="00133041"/>
    <w:rsid w:val="00133522"/>
    <w:rsid w:val="00133D89"/>
    <w:rsid w:val="00134C78"/>
    <w:rsid w:val="001360A7"/>
    <w:rsid w:val="00144BB9"/>
    <w:rsid w:val="001450C1"/>
    <w:rsid w:val="00145381"/>
    <w:rsid w:val="00146477"/>
    <w:rsid w:val="00154A82"/>
    <w:rsid w:val="00157F1C"/>
    <w:rsid w:val="00161A28"/>
    <w:rsid w:val="001639F2"/>
    <w:rsid w:val="00165F60"/>
    <w:rsid w:val="00166557"/>
    <w:rsid w:val="00167871"/>
    <w:rsid w:val="001678D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866BB"/>
    <w:rsid w:val="0019266F"/>
    <w:rsid w:val="00195883"/>
    <w:rsid w:val="00195F10"/>
    <w:rsid w:val="001A68EE"/>
    <w:rsid w:val="001B07A5"/>
    <w:rsid w:val="001B1966"/>
    <w:rsid w:val="001B53D6"/>
    <w:rsid w:val="001B54F7"/>
    <w:rsid w:val="001B568C"/>
    <w:rsid w:val="001B56C8"/>
    <w:rsid w:val="001B56D3"/>
    <w:rsid w:val="001B5A3E"/>
    <w:rsid w:val="001B7507"/>
    <w:rsid w:val="001C2CCF"/>
    <w:rsid w:val="001C5E65"/>
    <w:rsid w:val="001D03FF"/>
    <w:rsid w:val="001D14A0"/>
    <w:rsid w:val="001D4A2D"/>
    <w:rsid w:val="001E192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31423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74C6E"/>
    <w:rsid w:val="00277C45"/>
    <w:rsid w:val="0028003C"/>
    <w:rsid w:val="002800FC"/>
    <w:rsid w:val="00283048"/>
    <w:rsid w:val="00283995"/>
    <w:rsid w:val="00285E19"/>
    <w:rsid w:val="00287366"/>
    <w:rsid w:val="002939FE"/>
    <w:rsid w:val="002955DC"/>
    <w:rsid w:val="00296A47"/>
    <w:rsid w:val="002A1E9F"/>
    <w:rsid w:val="002A3B5A"/>
    <w:rsid w:val="002A43EF"/>
    <w:rsid w:val="002A5D3C"/>
    <w:rsid w:val="002B102C"/>
    <w:rsid w:val="002B261F"/>
    <w:rsid w:val="002B4DBE"/>
    <w:rsid w:val="002B7AA0"/>
    <w:rsid w:val="002C0ECC"/>
    <w:rsid w:val="002C2D96"/>
    <w:rsid w:val="002C3185"/>
    <w:rsid w:val="002C50D4"/>
    <w:rsid w:val="002C5B11"/>
    <w:rsid w:val="002C7271"/>
    <w:rsid w:val="002D017D"/>
    <w:rsid w:val="002D1D46"/>
    <w:rsid w:val="002D3C6C"/>
    <w:rsid w:val="002D597F"/>
    <w:rsid w:val="002D6058"/>
    <w:rsid w:val="002D642D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2A87"/>
    <w:rsid w:val="003049DC"/>
    <w:rsid w:val="00304F3E"/>
    <w:rsid w:val="00306106"/>
    <w:rsid w:val="003128AA"/>
    <w:rsid w:val="00312EA2"/>
    <w:rsid w:val="00314DF9"/>
    <w:rsid w:val="00315AD7"/>
    <w:rsid w:val="00316F35"/>
    <w:rsid w:val="003203C4"/>
    <w:rsid w:val="00321E4D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4694E"/>
    <w:rsid w:val="00346EB9"/>
    <w:rsid w:val="00351541"/>
    <w:rsid w:val="0035191C"/>
    <w:rsid w:val="00352F66"/>
    <w:rsid w:val="00355BD0"/>
    <w:rsid w:val="0035767B"/>
    <w:rsid w:val="003636F1"/>
    <w:rsid w:val="003660EA"/>
    <w:rsid w:val="00366375"/>
    <w:rsid w:val="00370D86"/>
    <w:rsid w:val="00372F2E"/>
    <w:rsid w:val="003730EB"/>
    <w:rsid w:val="003818AE"/>
    <w:rsid w:val="00384A7D"/>
    <w:rsid w:val="003852FD"/>
    <w:rsid w:val="003865F7"/>
    <w:rsid w:val="003873F4"/>
    <w:rsid w:val="003878D6"/>
    <w:rsid w:val="0039420B"/>
    <w:rsid w:val="00394D81"/>
    <w:rsid w:val="0039514F"/>
    <w:rsid w:val="003A21E8"/>
    <w:rsid w:val="003A2235"/>
    <w:rsid w:val="003A2CB6"/>
    <w:rsid w:val="003A46BC"/>
    <w:rsid w:val="003A6B11"/>
    <w:rsid w:val="003A7603"/>
    <w:rsid w:val="003B0F95"/>
    <w:rsid w:val="003B200E"/>
    <w:rsid w:val="003B2988"/>
    <w:rsid w:val="003B5299"/>
    <w:rsid w:val="003B76E4"/>
    <w:rsid w:val="003C1C25"/>
    <w:rsid w:val="003C1F46"/>
    <w:rsid w:val="003C2697"/>
    <w:rsid w:val="003C3DD4"/>
    <w:rsid w:val="003C429D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3E56"/>
    <w:rsid w:val="003F6BB8"/>
    <w:rsid w:val="00401E2F"/>
    <w:rsid w:val="00402CB5"/>
    <w:rsid w:val="0040430E"/>
    <w:rsid w:val="00405F6A"/>
    <w:rsid w:val="00410184"/>
    <w:rsid w:val="00420900"/>
    <w:rsid w:val="004244C9"/>
    <w:rsid w:val="004246C3"/>
    <w:rsid w:val="00424DB0"/>
    <w:rsid w:val="00426F75"/>
    <w:rsid w:val="00430CB4"/>
    <w:rsid w:val="00431815"/>
    <w:rsid w:val="0043438C"/>
    <w:rsid w:val="0043775A"/>
    <w:rsid w:val="00437EDB"/>
    <w:rsid w:val="00440827"/>
    <w:rsid w:val="00442ACB"/>
    <w:rsid w:val="004455BC"/>
    <w:rsid w:val="0044751A"/>
    <w:rsid w:val="00447E50"/>
    <w:rsid w:val="00450260"/>
    <w:rsid w:val="00450CD0"/>
    <w:rsid w:val="0045119D"/>
    <w:rsid w:val="0045127E"/>
    <w:rsid w:val="00454E85"/>
    <w:rsid w:val="00455244"/>
    <w:rsid w:val="004560EA"/>
    <w:rsid w:val="00461BC0"/>
    <w:rsid w:val="00462A14"/>
    <w:rsid w:val="00467A9A"/>
    <w:rsid w:val="004721FD"/>
    <w:rsid w:val="004739A6"/>
    <w:rsid w:val="00474CDD"/>
    <w:rsid w:val="00476F64"/>
    <w:rsid w:val="004776FD"/>
    <w:rsid w:val="00480147"/>
    <w:rsid w:val="004871EB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A3FF0"/>
    <w:rsid w:val="004B1544"/>
    <w:rsid w:val="004B266A"/>
    <w:rsid w:val="004B38E8"/>
    <w:rsid w:val="004B402E"/>
    <w:rsid w:val="004B50A2"/>
    <w:rsid w:val="004B54DB"/>
    <w:rsid w:val="004D2944"/>
    <w:rsid w:val="004D36A9"/>
    <w:rsid w:val="004D5ACA"/>
    <w:rsid w:val="004D6239"/>
    <w:rsid w:val="004D633F"/>
    <w:rsid w:val="004E2152"/>
    <w:rsid w:val="004E3624"/>
    <w:rsid w:val="004E4F5F"/>
    <w:rsid w:val="004E5DB2"/>
    <w:rsid w:val="004F01DC"/>
    <w:rsid w:val="004F19B4"/>
    <w:rsid w:val="004F2BAD"/>
    <w:rsid w:val="004F3C6C"/>
    <w:rsid w:val="00503959"/>
    <w:rsid w:val="005100D3"/>
    <w:rsid w:val="00513F17"/>
    <w:rsid w:val="00513FA5"/>
    <w:rsid w:val="0051513D"/>
    <w:rsid w:val="0051723A"/>
    <w:rsid w:val="005207CF"/>
    <w:rsid w:val="005216DA"/>
    <w:rsid w:val="00523226"/>
    <w:rsid w:val="005241F1"/>
    <w:rsid w:val="005241FD"/>
    <w:rsid w:val="00526548"/>
    <w:rsid w:val="00530FE3"/>
    <w:rsid w:val="00532933"/>
    <w:rsid w:val="005341B2"/>
    <w:rsid w:val="005343C1"/>
    <w:rsid w:val="005351BC"/>
    <w:rsid w:val="0054205A"/>
    <w:rsid w:val="00543FDD"/>
    <w:rsid w:val="00550A69"/>
    <w:rsid w:val="00550BB3"/>
    <w:rsid w:val="005513A3"/>
    <w:rsid w:val="005514D5"/>
    <w:rsid w:val="00551CA6"/>
    <w:rsid w:val="00556119"/>
    <w:rsid w:val="00564793"/>
    <w:rsid w:val="005648B6"/>
    <w:rsid w:val="00564B2E"/>
    <w:rsid w:val="00566E9B"/>
    <w:rsid w:val="00570123"/>
    <w:rsid w:val="005713F9"/>
    <w:rsid w:val="00571E01"/>
    <w:rsid w:val="00572698"/>
    <w:rsid w:val="005748F6"/>
    <w:rsid w:val="00577616"/>
    <w:rsid w:val="00580F5D"/>
    <w:rsid w:val="00582835"/>
    <w:rsid w:val="0058440F"/>
    <w:rsid w:val="005845A4"/>
    <w:rsid w:val="005862AC"/>
    <w:rsid w:val="00587278"/>
    <w:rsid w:val="005939F6"/>
    <w:rsid w:val="005953E3"/>
    <w:rsid w:val="005A05C2"/>
    <w:rsid w:val="005A1230"/>
    <w:rsid w:val="005A1C33"/>
    <w:rsid w:val="005A293F"/>
    <w:rsid w:val="005A2AD0"/>
    <w:rsid w:val="005A2D3C"/>
    <w:rsid w:val="005A59A6"/>
    <w:rsid w:val="005A6436"/>
    <w:rsid w:val="005A77B8"/>
    <w:rsid w:val="005B69D1"/>
    <w:rsid w:val="005C33F4"/>
    <w:rsid w:val="005C4AA9"/>
    <w:rsid w:val="005C51F6"/>
    <w:rsid w:val="005D0B21"/>
    <w:rsid w:val="005D6291"/>
    <w:rsid w:val="005D6DC1"/>
    <w:rsid w:val="005E0959"/>
    <w:rsid w:val="005E6D8D"/>
    <w:rsid w:val="005E77EA"/>
    <w:rsid w:val="005F13D7"/>
    <w:rsid w:val="005F25CC"/>
    <w:rsid w:val="005F2AAC"/>
    <w:rsid w:val="00600FB8"/>
    <w:rsid w:val="00606FAC"/>
    <w:rsid w:val="006152C8"/>
    <w:rsid w:val="00616985"/>
    <w:rsid w:val="00617EF1"/>
    <w:rsid w:val="0063027E"/>
    <w:rsid w:val="006322F0"/>
    <w:rsid w:val="006324CA"/>
    <w:rsid w:val="0063370F"/>
    <w:rsid w:val="00640110"/>
    <w:rsid w:val="0064152C"/>
    <w:rsid w:val="00642E37"/>
    <w:rsid w:val="0064672B"/>
    <w:rsid w:val="006503C0"/>
    <w:rsid w:val="00651E25"/>
    <w:rsid w:val="0065628C"/>
    <w:rsid w:val="0065794F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1A0D"/>
    <w:rsid w:val="00681C72"/>
    <w:rsid w:val="006868A7"/>
    <w:rsid w:val="006902BC"/>
    <w:rsid w:val="00694CDD"/>
    <w:rsid w:val="00696403"/>
    <w:rsid w:val="0069710C"/>
    <w:rsid w:val="006A104F"/>
    <w:rsid w:val="006A300E"/>
    <w:rsid w:val="006A5B75"/>
    <w:rsid w:val="006B4515"/>
    <w:rsid w:val="006B644D"/>
    <w:rsid w:val="006C1838"/>
    <w:rsid w:val="006C602E"/>
    <w:rsid w:val="006C6C95"/>
    <w:rsid w:val="006D1FF9"/>
    <w:rsid w:val="006D27E6"/>
    <w:rsid w:val="006D4ADA"/>
    <w:rsid w:val="006D56C0"/>
    <w:rsid w:val="006D610B"/>
    <w:rsid w:val="006D6172"/>
    <w:rsid w:val="006D7B9D"/>
    <w:rsid w:val="006E292B"/>
    <w:rsid w:val="006E2D7B"/>
    <w:rsid w:val="006E42DC"/>
    <w:rsid w:val="006E71A1"/>
    <w:rsid w:val="006F0401"/>
    <w:rsid w:val="006F22C1"/>
    <w:rsid w:val="006F4601"/>
    <w:rsid w:val="00703141"/>
    <w:rsid w:val="00703557"/>
    <w:rsid w:val="00704FC5"/>
    <w:rsid w:val="0070672B"/>
    <w:rsid w:val="007120E2"/>
    <w:rsid w:val="00720BAA"/>
    <w:rsid w:val="007225B7"/>
    <w:rsid w:val="00723995"/>
    <w:rsid w:val="00725449"/>
    <w:rsid w:val="007341E5"/>
    <w:rsid w:val="00735BA3"/>
    <w:rsid w:val="00736F1D"/>
    <w:rsid w:val="00740D87"/>
    <w:rsid w:val="00743091"/>
    <w:rsid w:val="00744EE7"/>
    <w:rsid w:val="00746B7B"/>
    <w:rsid w:val="00751975"/>
    <w:rsid w:val="00751EAB"/>
    <w:rsid w:val="00752F78"/>
    <w:rsid w:val="00757967"/>
    <w:rsid w:val="00757B00"/>
    <w:rsid w:val="00763C29"/>
    <w:rsid w:val="007668E1"/>
    <w:rsid w:val="007677DB"/>
    <w:rsid w:val="00771350"/>
    <w:rsid w:val="007717BA"/>
    <w:rsid w:val="00776AD7"/>
    <w:rsid w:val="007800B1"/>
    <w:rsid w:val="0078012E"/>
    <w:rsid w:val="00786F7B"/>
    <w:rsid w:val="0079275E"/>
    <w:rsid w:val="007942CF"/>
    <w:rsid w:val="0079525A"/>
    <w:rsid w:val="007A0112"/>
    <w:rsid w:val="007A2753"/>
    <w:rsid w:val="007A27A2"/>
    <w:rsid w:val="007A2810"/>
    <w:rsid w:val="007A77C8"/>
    <w:rsid w:val="007B483E"/>
    <w:rsid w:val="007B6812"/>
    <w:rsid w:val="007C14DD"/>
    <w:rsid w:val="007C18A2"/>
    <w:rsid w:val="007C4FA3"/>
    <w:rsid w:val="007C6813"/>
    <w:rsid w:val="007C6F69"/>
    <w:rsid w:val="007D39F6"/>
    <w:rsid w:val="007D41C6"/>
    <w:rsid w:val="007D58D4"/>
    <w:rsid w:val="007D7B4B"/>
    <w:rsid w:val="007E0250"/>
    <w:rsid w:val="007F0BF7"/>
    <w:rsid w:val="007F13DD"/>
    <w:rsid w:val="007F21DE"/>
    <w:rsid w:val="007F246F"/>
    <w:rsid w:val="007F4C27"/>
    <w:rsid w:val="00801880"/>
    <w:rsid w:val="00802949"/>
    <w:rsid w:val="008035B9"/>
    <w:rsid w:val="00806B66"/>
    <w:rsid w:val="0080714A"/>
    <w:rsid w:val="00807A53"/>
    <w:rsid w:val="0082055F"/>
    <w:rsid w:val="00821267"/>
    <w:rsid w:val="00823962"/>
    <w:rsid w:val="00823BE9"/>
    <w:rsid w:val="0082525C"/>
    <w:rsid w:val="00825586"/>
    <w:rsid w:val="00831130"/>
    <w:rsid w:val="00832700"/>
    <w:rsid w:val="008331B2"/>
    <w:rsid w:val="0083462E"/>
    <w:rsid w:val="00835141"/>
    <w:rsid w:val="008351E1"/>
    <w:rsid w:val="00835AEC"/>
    <w:rsid w:val="00835E34"/>
    <w:rsid w:val="00836F92"/>
    <w:rsid w:val="008409C3"/>
    <w:rsid w:val="0084221D"/>
    <w:rsid w:val="00843D11"/>
    <w:rsid w:val="00854448"/>
    <w:rsid w:val="00854498"/>
    <w:rsid w:val="0085656D"/>
    <w:rsid w:val="00856BC5"/>
    <w:rsid w:val="00857AC0"/>
    <w:rsid w:val="0086010C"/>
    <w:rsid w:val="00860533"/>
    <w:rsid w:val="008618B2"/>
    <w:rsid w:val="00862CCA"/>
    <w:rsid w:val="008640C5"/>
    <w:rsid w:val="0086410B"/>
    <w:rsid w:val="0086480A"/>
    <w:rsid w:val="00864F31"/>
    <w:rsid w:val="00870C75"/>
    <w:rsid w:val="0087477B"/>
    <w:rsid w:val="008772F2"/>
    <w:rsid w:val="00880E60"/>
    <w:rsid w:val="00886349"/>
    <w:rsid w:val="00886E70"/>
    <w:rsid w:val="008930E6"/>
    <w:rsid w:val="008931C5"/>
    <w:rsid w:val="00894767"/>
    <w:rsid w:val="0089612D"/>
    <w:rsid w:val="00896966"/>
    <w:rsid w:val="00897BAD"/>
    <w:rsid w:val="008A024B"/>
    <w:rsid w:val="008A114E"/>
    <w:rsid w:val="008A2D71"/>
    <w:rsid w:val="008B1B4E"/>
    <w:rsid w:val="008C1CF1"/>
    <w:rsid w:val="008C29B0"/>
    <w:rsid w:val="008C40DC"/>
    <w:rsid w:val="008C55F5"/>
    <w:rsid w:val="008C79B5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E56E6"/>
    <w:rsid w:val="008E6A1E"/>
    <w:rsid w:val="008E78FA"/>
    <w:rsid w:val="008F27E5"/>
    <w:rsid w:val="008F353D"/>
    <w:rsid w:val="008F410E"/>
    <w:rsid w:val="008F42E1"/>
    <w:rsid w:val="008F7051"/>
    <w:rsid w:val="008F7969"/>
    <w:rsid w:val="009051E5"/>
    <w:rsid w:val="009056B2"/>
    <w:rsid w:val="009074A5"/>
    <w:rsid w:val="0091185F"/>
    <w:rsid w:val="00911BE4"/>
    <w:rsid w:val="00912FBD"/>
    <w:rsid w:val="0091649D"/>
    <w:rsid w:val="009165AA"/>
    <w:rsid w:val="009178E4"/>
    <w:rsid w:val="00921C21"/>
    <w:rsid w:val="00922722"/>
    <w:rsid w:val="00922EE0"/>
    <w:rsid w:val="009237D2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429E9"/>
    <w:rsid w:val="00951123"/>
    <w:rsid w:val="00954E4C"/>
    <w:rsid w:val="0095520C"/>
    <w:rsid w:val="00956FC8"/>
    <w:rsid w:val="00956FE2"/>
    <w:rsid w:val="009574DC"/>
    <w:rsid w:val="0096042C"/>
    <w:rsid w:val="0096096E"/>
    <w:rsid w:val="00961117"/>
    <w:rsid w:val="00961B4A"/>
    <w:rsid w:val="00964D42"/>
    <w:rsid w:val="00972A3D"/>
    <w:rsid w:val="00973805"/>
    <w:rsid w:val="0097504F"/>
    <w:rsid w:val="00975738"/>
    <w:rsid w:val="0097611D"/>
    <w:rsid w:val="009768D8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55A5"/>
    <w:rsid w:val="009A5E66"/>
    <w:rsid w:val="009A6C47"/>
    <w:rsid w:val="009B3E6D"/>
    <w:rsid w:val="009B65DB"/>
    <w:rsid w:val="009C18C1"/>
    <w:rsid w:val="009C40E3"/>
    <w:rsid w:val="009C5E89"/>
    <w:rsid w:val="009D177C"/>
    <w:rsid w:val="009D5265"/>
    <w:rsid w:val="009D79D3"/>
    <w:rsid w:val="009E21EE"/>
    <w:rsid w:val="009E2970"/>
    <w:rsid w:val="009E4114"/>
    <w:rsid w:val="009E483C"/>
    <w:rsid w:val="009E58A1"/>
    <w:rsid w:val="009F021E"/>
    <w:rsid w:val="009F303C"/>
    <w:rsid w:val="009F4425"/>
    <w:rsid w:val="009F4AB2"/>
    <w:rsid w:val="009F5B41"/>
    <w:rsid w:val="009F6A1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13B4"/>
    <w:rsid w:val="00A23667"/>
    <w:rsid w:val="00A23B72"/>
    <w:rsid w:val="00A23F33"/>
    <w:rsid w:val="00A258F9"/>
    <w:rsid w:val="00A26918"/>
    <w:rsid w:val="00A30802"/>
    <w:rsid w:val="00A30804"/>
    <w:rsid w:val="00A324DC"/>
    <w:rsid w:val="00A326B2"/>
    <w:rsid w:val="00A32D90"/>
    <w:rsid w:val="00A3315B"/>
    <w:rsid w:val="00A350AB"/>
    <w:rsid w:val="00A3700C"/>
    <w:rsid w:val="00A37DF3"/>
    <w:rsid w:val="00A37FB6"/>
    <w:rsid w:val="00A4175C"/>
    <w:rsid w:val="00A4186B"/>
    <w:rsid w:val="00A41909"/>
    <w:rsid w:val="00A4251D"/>
    <w:rsid w:val="00A427CD"/>
    <w:rsid w:val="00A466E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277"/>
    <w:rsid w:val="00A82785"/>
    <w:rsid w:val="00A84477"/>
    <w:rsid w:val="00A8521C"/>
    <w:rsid w:val="00A866E2"/>
    <w:rsid w:val="00A93AE7"/>
    <w:rsid w:val="00A93DE8"/>
    <w:rsid w:val="00A94092"/>
    <w:rsid w:val="00A942B0"/>
    <w:rsid w:val="00AA1384"/>
    <w:rsid w:val="00AA4D7E"/>
    <w:rsid w:val="00AA5CF3"/>
    <w:rsid w:val="00AB2670"/>
    <w:rsid w:val="00AB3866"/>
    <w:rsid w:val="00AB3FFC"/>
    <w:rsid w:val="00AC4264"/>
    <w:rsid w:val="00AC51C3"/>
    <w:rsid w:val="00AD049A"/>
    <w:rsid w:val="00AD15A6"/>
    <w:rsid w:val="00AD459A"/>
    <w:rsid w:val="00AD4F22"/>
    <w:rsid w:val="00AD5D87"/>
    <w:rsid w:val="00AD788D"/>
    <w:rsid w:val="00AE3F41"/>
    <w:rsid w:val="00AE4042"/>
    <w:rsid w:val="00AF3312"/>
    <w:rsid w:val="00AF3591"/>
    <w:rsid w:val="00AF3CDE"/>
    <w:rsid w:val="00B000CD"/>
    <w:rsid w:val="00B01D02"/>
    <w:rsid w:val="00B0374E"/>
    <w:rsid w:val="00B04376"/>
    <w:rsid w:val="00B05D0B"/>
    <w:rsid w:val="00B121F8"/>
    <w:rsid w:val="00B155AC"/>
    <w:rsid w:val="00B16685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3F6B"/>
    <w:rsid w:val="00B46B35"/>
    <w:rsid w:val="00B46DBB"/>
    <w:rsid w:val="00B51850"/>
    <w:rsid w:val="00B54CCC"/>
    <w:rsid w:val="00B563B1"/>
    <w:rsid w:val="00B63C7D"/>
    <w:rsid w:val="00B64C19"/>
    <w:rsid w:val="00B66C8A"/>
    <w:rsid w:val="00B71741"/>
    <w:rsid w:val="00B722A5"/>
    <w:rsid w:val="00B73188"/>
    <w:rsid w:val="00B75AFB"/>
    <w:rsid w:val="00B7671C"/>
    <w:rsid w:val="00B779C7"/>
    <w:rsid w:val="00B857F0"/>
    <w:rsid w:val="00B868D8"/>
    <w:rsid w:val="00B902E0"/>
    <w:rsid w:val="00B90C4B"/>
    <w:rsid w:val="00B922A1"/>
    <w:rsid w:val="00B93F9C"/>
    <w:rsid w:val="00B94AE8"/>
    <w:rsid w:val="00B9633E"/>
    <w:rsid w:val="00BA0A54"/>
    <w:rsid w:val="00BA12A0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6E73"/>
    <w:rsid w:val="00BB7BBA"/>
    <w:rsid w:val="00BC28D5"/>
    <w:rsid w:val="00BC45D8"/>
    <w:rsid w:val="00BC602F"/>
    <w:rsid w:val="00BD3706"/>
    <w:rsid w:val="00BD3E84"/>
    <w:rsid w:val="00BD54CF"/>
    <w:rsid w:val="00BE1B38"/>
    <w:rsid w:val="00BE4FB6"/>
    <w:rsid w:val="00BE5730"/>
    <w:rsid w:val="00BE587B"/>
    <w:rsid w:val="00BE755E"/>
    <w:rsid w:val="00BF17A3"/>
    <w:rsid w:val="00BF181E"/>
    <w:rsid w:val="00BF25CB"/>
    <w:rsid w:val="00BF6BA2"/>
    <w:rsid w:val="00BF7A1E"/>
    <w:rsid w:val="00C04A8C"/>
    <w:rsid w:val="00C06A2E"/>
    <w:rsid w:val="00C10F6C"/>
    <w:rsid w:val="00C1514B"/>
    <w:rsid w:val="00C22E6E"/>
    <w:rsid w:val="00C2714F"/>
    <w:rsid w:val="00C309B2"/>
    <w:rsid w:val="00C34307"/>
    <w:rsid w:val="00C40B9D"/>
    <w:rsid w:val="00C43638"/>
    <w:rsid w:val="00C47CD0"/>
    <w:rsid w:val="00C5070A"/>
    <w:rsid w:val="00C5419D"/>
    <w:rsid w:val="00C543A1"/>
    <w:rsid w:val="00C569B0"/>
    <w:rsid w:val="00C61D29"/>
    <w:rsid w:val="00C71537"/>
    <w:rsid w:val="00C7298D"/>
    <w:rsid w:val="00C7490E"/>
    <w:rsid w:val="00C75DBF"/>
    <w:rsid w:val="00C7692F"/>
    <w:rsid w:val="00C81B0F"/>
    <w:rsid w:val="00C833FC"/>
    <w:rsid w:val="00C878CC"/>
    <w:rsid w:val="00C90013"/>
    <w:rsid w:val="00C92928"/>
    <w:rsid w:val="00C92E90"/>
    <w:rsid w:val="00C943B4"/>
    <w:rsid w:val="00C94C3C"/>
    <w:rsid w:val="00C963D4"/>
    <w:rsid w:val="00CA154F"/>
    <w:rsid w:val="00CA47D9"/>
    <w:rsid w:val="00CA66C1"/>
    <w:rsid w:val="00CA76AF"/>
    <w:rsid w:val="00CA76E6"/>
    <w:rsid w:val="00CA7C2D"/>
    <w:rsid w:val="00CB18AB"/>
    <w:rsid w:val="00CB1B9E"/>
    <w:rsid w:val="00CB31C1"/>
    <w:rsid w:val="00CC3CF9"/>
    <w:rsid w:val="00CC50C8"/>
    <w:rsid w:val="00CD30E3"/>
    <w:rsid w:val="00CD5727"/>
    <w:rsid w:val="00CD5B24"/>
    <w:rsid w:val="00CE028D"/>
    <w:rsid w:val="00CE31DE"/>
    <w:rsid w:val="00CE582B"/>
    <w:rsid w:val="00CE736E"/>
    <w:rsid w:val="00CE7A1F"/>
    <w:rsid w:val="00CF14EF"/>
    <w:rsid w:val="00CF1577"/>
    <w:rsid w:val="00CF48B5"/>
    <w:rsid w:val="00CF7558"/>
    <w:rsid w:val="00CF7737"/>
    <w:rsid w:val="00D033AA"/>
    <w:rsid w:val="00D05269"/>
    <w:rsid w:val="00D15BC4"/>
    <w:rsid w:val="00D20920"/>
    <w:rsid w:val="00D20BDF"/>
    <w:rsid w:val="00D20FA1"/>
    <w:rsid w:val="00D22318"/>
    <w:rsid w:val="00D23BF3"/>
    <w:rsid w:val="00D2466E"/>
    <w:rsid w:val="00D27C0E"/>
    <w:rsid w:val="00D27EBB"/>
    <w:rsid w:val="00D3199B"/>
    <w:rsid w:val="00D3363A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1A17"/>
    <w:rsid w:val="00D53C8B"/>
    <w:rsid w:val="00D55928"/>
    <w:rsid w:val="00D57423"/>
    <w:rsid w:val="00D57C7F"/>
    <w:rsid w:val="00D57F01"/>
    <w:rsid w:val="00D60F14"/>
    <w:rsid w:val="00D62228"/>
    <w:rsid w:val="00D64DF9"/>
    <w:rsid w:val="00D71A33"/>
    <w:rsid w:val="00D82006"/>
    <w:rsid w:val="00D82864"/>
    <w:rsid w:val="00D82B9D"/>
    <w:rsid w:val="00D84095"/>
    <w:rsid w:val="00D908D7"/>
    <w:rsid w:val="00D9091B"/>
    <w:rsid w:val="00D9282D"/>
    <w:rsid w:val="00D93AD2"/>
    <w:rsid w:val="00D96163"/>
    <w:rsid w:val="00D962FC"/>
    <w:rsid w:val="00D96C9F"/>
    <w:rsid w:val="00D978BD"/>
    <w:rsid w:val="00DA2D40"/>
    <w:rsid w:val="00DA366A"/>
    <w:rsid w:val="00DA3EC7"/>
    <w:rsid w:val="00DA4896"/>
    <w:rsid w:val="00DA6196"/>
    <w:rsid w:val="00DB22A0"/>
    <w:rsid w:val="00DB3EEB"/>
    <w:rsid w:val="00DB4F2F"/>
    <w:rsid w:val="00DB74FC"/>
    <w:rsid w:val="00DC0D5F"/>
    <w:rsid w:val="00DC2735"/>
    <w:rsid w:val="00DC344B"/>
    <w:rsid w:val="00DC41A5"/>
    <w:rsid w:val="00DC5B91"/>
    <w:rsid w:val="00DC7B18"/>
    <w:rsid w:val="00DD0783"/>
    <w:rsid w:val="00DD09FB"/>
    <w:rsid w:val="00DD581E"/>
    <w:rsid w:val="00DD5F4B"/>
    <w:rsid w:val="00DE269E"/>
    <w:rsid w:val="00DE37BD"/>
    <w:rsid w:val="00DE4173"/>
    <w:rsid w:val="00DE67FD"/>
    <w:rsid w:val="00DE6FD6"/>
    <w:rsid w:val="00DF7276"/>
    <w:rsid w:val="00E0122E"/>
    <w:rsid w:val="00E02169"/>
    <w:rsid w:val="00E02300"/>
    <w:rsid w:val="00E06B87"/>
    <w:rsid w:val="00E073CD"/>
    <w:rsid w:val="00E11787"/>
    <w:rsid w:val="00E16F00"/>
    <w:rsid w:val="00E17D76"/>
    <w:rsid w:val="00E2040C"/>
    <w:rsid w:val="00E20765"/>
    <w:rsid w:val="00E21C92"/>
    <w:rsid w:val="00E234B5"/>
    <w:rsid w:val="00E27863"/>
    <w:rsid w:val="00E27978"/>
    <w:rsid w:val="00E32EED"/>
    <w:rsid w:val="00E35143"/>
    <w:rsid w:val="00E36E16"/>
    <w:rsid w:val="00E41533"/>
    <w:rsid w:val="00E45E07"/>
    <w:rsid w:val="00E52549"/>
    <w:rsid w:val="00E53502"/>
    <w:rsid w:val="00E57899"/>
    <w:rsid w:val="00E64BE0"/>
    <w:rsid w:val="00E669C7"/>
    <w:rsid w:val="00E70DF4"/>
    <w:rsid w:val="00E71366"/>
    <w:rsid w:val="00E7191F"/>
    <w:rsid w:val="00E71C56"/>
    <w:rsid w:val="00E727BD"/>
    <w:rsid w:val="00E74430"/>
    <w:rsid w:val="00E7606F"/>
    <w:rsid w:val="00E76550"/>
    <w:rsid w:val="00E828B9"/>
    <w:rsid w:val="00E8327F"/>
    <w:rsid w:val="00E87DE3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B260B"/>
    <w:rsid w:val="00EC2BAC"/>
    <w:rsid w:val="00EC3A76"/>
    <w:rsid w:val="00EC68AE"/>
    <w:rsid w:val="00ED3D80"/>
    <w:rsid w:val="00ED4A1C"/>
    <w:rsid w:val="00ED53F6"/>
    <w:rsid w:val="00ED70DA"/>
    <w:rsid w:val="00ED73D9"/>
    <w:rsid w:val="00ED7D28"/>
    <w:rsid w:val="00EE0968"/>
    <w:rsid w:val="00EE25F0"/>
    <w:rsid w:val="00EE2FD1"/>
    <w:rsid w:val="00EE3248"/>
    <w:rsid w:val="00EE4FE6"/>
    <w:rsid w:val="00EE6D11"/>
    <w:rsid w:val="00EF14EA"/>
    <w:rsid w:val="00EF1FDC"/>
    <w:rsid w:val="00EF2232"/>
    <w:rsid w:val="00EF3887"/>
    <w:rsid w:val="00EF4269"/>
    <w:rsid w:val="00EF5114"/>
    <w:rsid w:val="00F02060"/>
    <w:rsid w:val="00F022FE"/>
    <w:rsid w:val="00F03D71"/>
    <w:rsid w:val="00F13ECD"/>
    <w:rsid w:val="00F147DD"/>
    <w:rsid w:val="00F15451"/>
    <w:rsid w:val="00F16917"/>
    <w:rsid w:val="00F1776C"/>
    <w:rsid w:val="00F2036F"/>
    <w:rsid w:val="00F23901"/>
    <w:rsid w:val="00F24B7C"/>
    <w:rsid w:val="00F24C51"/>
    <w:rsid w:val="00F35FEC"/>
    <w:rsid w:val="00F4304F"/>
    <w:rsid w:val="00F44488"/>
    <w:rsid w:val="00F5436C"/>
    <w:rsid w:val="00F54AF1"/>
    <w:rsid w:val="00F550BE"/>
    <w:rsid w:val="00F55C85"/>
    <w:rsid w:val="00F55FA8"/>
    <w:rsid w:val="00F64A55"/>
    <w:rsid w:val="00F65196"/>
    <w:rsid w:val="00F67081"/>
    <w:rsid w:val="00F67A1B"/>
    <w:rsid w:val="00F709E4"/>
    <w:rsid w:val="00F739EA"/>
    <w:rsid w:val="00F73E38"/>
    <w:rsid w:val="00F766F3"/>
    <w:rsid w:val="00F8144F"/>
    <w:rsid w:val="00F81534"/>
    <w:rsid w:val="00F8165C"/>
    <w:rsid w:val="00F8764D"/>
    <w:rsid w:val="00F87A53"/>
    <w:rsid w:val="00F932E2"/>
    <w:rsid w:val="00F945B1"/>
    <w:rsid w:val="00F965DA"/>
    <w:rsid w:val="00F96969"/>
    <w:rsid w:val="00FA03EA"/>
    <w:rsid w:val="00FA2DCA"/>
    <w:rsid w:val="00FA3C79"/>
    <w:rsid w:val="00FA65C9"/>
    <w:rsid w:val="00FA6BCC"/>
    <w:rsid w:val="00FB349E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D7901"/>
    <w:rsid w:val="00FE17BC"/>
    <w:rsid w:val="00FE685B"/>
    <w:rsid w:val="00FE7CCE"/>
    <w:rsid w:val="00FE7E26"/>
    <w:rsid w:val="00FF172A"/>
    <w:rsid w:val="00FF4158"/>
    <w:rsid w:val="00FF4422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BB1F"/>
  <w15:docId w15:val="{F14BFCED-B47D-46F0-8C6E-1C94E853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0A7F5D"/>
  </w:style>
  <w:style w:type="paragraph" w:customStyle="1" w:styleId="CM1">
    <w:name w:val="CM1"/>
    <w:basedOn w:val="Normalny"/>
    <w:uiPriority w:val="99"/>
    <w:rsid w:val="00F5436C"/>
    <w:pPr>
      <w:autoSpaceDE w:val="0"/>
      <w:autoSpaceDN w:val="0"/>
      <w:spacing w:after="0" w:line="240" w:lineRule="auto"/>
    </w:pPr>
    <w:rPr>
      <w:rFonts w:ascii="EUAlbertina" w:eastAsiaTheme="minorHAnsi" w:hAnsi="EUAlberti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89888-E347-4D2F-9651-08690769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10648</Words>
  <Characters>63888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Agnieszka Fedyk</cp:lastModifiedBy>
  <cp:revision>6</cp:revision>
  <cp:lastPrinted>2022-03-22T10:12:00Z</cp:lastPrinted>
  <dcterms:created xsi:type="dcterms:W3CDTF">2022-10-17T09:10:00Z</dcterms:created>
  <dcterms:modified xsi:type="dcterms:W3CDTF">2023-01-31T08:25:00Z</dcterms:modified>
</cp:coreProperties>
</file>