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051F2" w14:textId="3B3844C2" w:rsidR="00167871" w:rsidRDefault="00B71741" w:rsidP="00167871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D20BDF">
        <w:rPr>
          <w:sz w:val="20"/>
        </w:rPr>
        <w:t xml:space="preserve"> </w:t>
      </w:r>
      <w:r w:rsidR="00D20BDF">
        <w:rPr>
          <w:sz w:val="20"/>
        </w:rPr>
        <w:t>28 marca 2022 r.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B04BFB9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przygotowanie dokumentacji projektu (wymaganej prawem krajowym lub wspólnotowym bądź przez IZ RPO WD) przekraczające 8% wartości całkowitych wydatków kwalifikowalnych projektu. Limit ten weryfikowany jest jednorazowo na etapie oceny </w:t>
            </w:r>
            <w:r w:rsidRPr="00DD0783">
              <w:lastRenderedPageBreak/>
              <w:t>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</w:t>
            </w:r>
            <w:r w:rsidRPr="00DD0783">
              <w:lastRenderedPageBreak/>
              <w:t>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</w:t>
            </w:r>
            <w:r w:rsidRPr="00DD0783">
              <w:lastRenderedPageBreak/>
              <w:t xml:space="preserve">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6364F54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bezemisyjnego </w:t>
      </w:r>
      <w:r w:rsidR="00616985">
        <w:lastRenderedPageBreak/>
        <w:t>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lastRenderedPageBreak/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lastRenderedPageBreak/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</w:t>
      </w:r>
      <w:r w:rsidRPr="00DD0783">
        <w:rPr>
          <w:rFonts w:eastAsia="Times New Roman" w:cs="Times New Roman"/>
        </w:rPr>
        <w:lastRenderedPageBreak/>
        <w:t xml:space="preserve">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44CEB7DA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</w:t>
      </w:r>
      <w:r w:rsidR="00296A47">
        <w:t xml:space="preserve">określonych </w:t>
      </w:r>
      <w:r w:rsidRPr="00DD0783">
        <w:t>jednostek chorobowych</w:t>
      </w:r>
      <w:r w:rsidR="005939F6">
        <w:t>/poradni</w:t>
      </w:r>
      <w:r w:rsidRPr="00DD0783">
        <w:t xml:space="preserve">– </w:t>
      </w:r>
      <w:r w:rsidRPr="00DD0783">
        <w:rPr>
          <w:u w:val="single"/>
        </w:rPr>
        <w:t>szczegółowe uregulowania zawarte są w </w:t>
      </w:r>
      <w:r w:rsidR="00296A47">
        <w:rPr>
          <w:u w:val="single"/>
        </w:rPr>
        <w:t xml:space="preserve">dokumentacji konkursowej/pozakonkursowej </w:t>
      </w:r>
    </w:p>
    <w:p w14:paraId="58DABBC7" w14:textId="1BBAFD9D" w:rsidR="00296A47" w:rsidRPr="009A6C47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</w:t>
      </w:r>
      <w:r w:rsidR="00296A47">
        <w:t xml:space="preserve">określonych </w:t>
      </w:r>
      <w:r w:rsidRPr="00DD0783">
        <w:t>jednostek chorobowych</w:t>
      </w:r>
      <w:r w:rsidR="005939F6">
        <w:t xml:space="preserve">/poradni </w:t>
      </w:r>
      <w:r w:rsidR="00FA03EA">
        <w:t xml:space="preserve"> </w:t>
      </w:r>
      <w:r w:rsidRPr="00DD0783">
        <w:t xml:space="preserve">– </w:t>
      </w:r>
      <w:r w:rsidRPr="00DD0783">
        <w:rPr>
          <w:u w:val="single"/>
        </w:rPr>
        <w:t xml:space="preserve">szczegółowe uregulowania zawarte są w </w:t>
      </w:r>
      <w:r w:rsidR="00296A47">
        <w:rPr>
          <w:u w:val="single"/>
        </w:rPr>
        <w:t xml:space="preserve">dokumentacji konkursowej/pozakonkursowej 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6EBFA645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 tym dostępności dla osób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79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6E0DE65" w14:textId="71460FF9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 oraz na likwidację kotłów gazowych i olejowych.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2E37103D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>naboru na zakup ruchomych środków trwałych i WNiP</w:t>
      </w:r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</w:t>
      </w:r>
      <w:r w:rsidR="00BA7DC6" w:rsidRPr="00BA7DC6">
        <w:rPr>
          <w:rFonts w:cs="Calibri"/>
        </w:rPr>
        <w:lastRenderedPageBreak/>
        <w:t xml:space="preserve">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lastRenderedPageBreak/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7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6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6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2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38B46E55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8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79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27B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55DC"/>
    <w:rsid w:val="00296A47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DF9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39F6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152C8"/>
    <w:rsid w:val="00616985"/>
    <w:rsid w:val="00617EF1"/>
    <w:rsid w:val="0063027E"/>
    <w:rsid w:val="006322F0"/>
    <w:rsid w:val="006324CA"/>
    <w:rsid w:val="00640110"/>
    <w:rsid w:val="0064152C"/>
    <w:rsid w:val="00642E37"/>
    <w:rsid w:val="0064672B"/>
    <w:rsid w:val="006503C0"/>
    <w:rsid w:val="00651E25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3995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37D2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A6C47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BDF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03EA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31</Pages>
  <Words>10503</Words>
  <Characters>63019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19</cp:revision>
  <cp:lastPrinted>2022-03-22T10:12:00Z</cp:lastPrinted>
  <dcterms:created xsi:type="dcterms:W3CDTF">2021-11-08T13:42:00Z</dcterms:created>
  <dcterms:modified xsi:type="dcterms:W3CDTF">2022-03-28T08:55:00Z</dcterms:modified>
</cp:coreProperties>
</file>