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03943" w14:textId="77777777" w:rsidR="00AF7C30" w:rsidRDefault="00AF7C30" w:rsidP="00AF7C30">
      <w:pPr>
        <w:autoSpaceDE w:val="0"/>
        <w:autoSpaceDN w:val="0"/>
        <w:adjustRightInd w:val="0"/>
        <w:spacing w:before="0" w:line="240" w:lineRule="auto"/>
        <w:jc w:val="center"/>
        <w:rPr>
          <w:rFonts w:asciiTheme="minorHAnsi" w:hAnsiTheme="minorHAnsi" w:cs="Calibri"/>
          <w:b/>
          <w:color w:val="000000"/>
          <w:szCs w:val="22"/>
        </w:rPr>
      </w:pPr>
      <w:bookmarkStart w:id="0" w:name="_Toc426632922"/>
      <w:bookmarkStart w:id="1" w:name="_Toc430826826"/>
      <w:bookmarkStart w:id="2" w:name="_Toc432758974"/>
    </w:p>
    <w:p w14:paraId="313FD0FF" w14:textId="78419AEE" w:rsidR="00FA0CF9" w:rsidRPr="00D52C48" w:rsidRDefault="00C97EA0" w:rsidP="00FA0CF9">
      <w:pPr>
        <w:jc w:val="center"/>
        <w:rPr>
          <w:rFonts w:asciiTheme="minorHAnsi" w:hAnsiTheme="minorHAnsi" w:cs="Calibri"/>
          <w:b/>
          <w:color w:val="000000"/>
        </w:rPr>
      </w:pPr>
      <w:r w:rsidRPr="00D52C48">
        <w:rPr>
          <w:rFonts w:asciiTheme="minorHAnsi" w:hAnsiTheme="minorHAnsi" w:cs="Calibri"/>
          <w:b/>
          <w:color w:val="000000"/>
        </w:rPr>
        <w:t xml:space="preserve">Lista wskaźników na poziomie projektu dla Działania </w:t>
      </w:r>
      <w:r w:rsidR="00FA0CF9" w:rsidRPr="00D52C48">
        <w:rPr>
          <w:rFonts w:asciiTheme="minorHAnsi" w:hAnsiTheme="minorHAnsi" w:cs="Calibri"/>
          <w:b/>
          <w:color w:val="000000"/>
        </w:rPr>
        <w:t>3.3</w:t>
      </w:r>
      <w:r w:rsidRPr="00D52C48">
        <w:rPr>
          <w:rFonts w:asciiTheme="minorHAnsi" w:hAnsiTheme="minorHAnsi" w:cs="Calibri"/>
          <w:b/>
          <w:color w:val="000000"/>
        </w:rPr>
        <w:t xml:space="preserve">, </w:t>
      </w:r>
      <w:r w:rsidR="00FA0CF9" w:rsidRPr="00D52C48">
        <w:rPr>
          <w:rFonts w:asciiTheme="minorHAnsi" w:hAnsiTheme="minorHAnsi" w:cs="Calibri"/>
          <w:b/>
          <w:color w:val="000000"/>
        </w:rPr>
        <w:t>Typ e</w:t>
      </w:r>
      <w:r w:rsidR="00FA0CF9" w:rsidRPr="00D52C48">
        <w:rPr>
          <w:rFonts w:asciiTheme="minorHAnsi" w:eastAsiaTheme="minorHAnsi" w:hAnsiTheme="minorHAnsi" w:cstheme="minorBidi"/>
          <w:b/>
          <w:szCs w:val="22"/>
          <w:lang w:eastAsia="en-US"/>
        </w:rPr>
        <w:t xml:space="preserve"> </w:t>
      </w:r>
      <w:r w:rsidR="00FA0CF9" w:rsidRPr="00D52C48">
        <w:rPr>
          <w:rFonts w:asciiTheme="minorHAnsi" w:hAnsiTheme="minorHAnsi" w:cs="Calibri"/>
          <w:b/>
          <w:color w:val="000000"/>
        </w:rPr>
        <w:t xml:space="preserve">Modernizacja systemów grzewczych i odnawialne źródła energii - projekty dotyczące zwalczania emisji kominowej – projekt grantowy </w:t>
      </w:r>
    </w:p>
    <w:p w14:paraId="1D17BD81" w14:textId="77777777" w:rsidR="00CF69D1" w:rsidRPr="00D52C48" w:rsidRDefault="00CF69D1" w:rsidP="00FA0CF9">
      <w:pPr>
        <w:autoSpaceDE w:val="0"/>
        <w:autoSpaceDN w:val="0"/>
        <w:spacing w:before="120" w:after="120" w:line="240" w:lineRule="auto"/>
        <w:rPr>
          <w:rFonts w:asciiTheme="minorHAnsi" w:eastAsiaTheme="minorHAnsi" w:hAnsiTheme="minorHAnsi" w:cs="Calibri"/>
          <w:szCs w:val="22"/>
          <w:lang w:eastAsia="en-US"/>
        </w:rPr>
      </w:pPr>
    </w:p>
    <w:bookmarkEnd w:id="0"/>
    <w:bookmarkEnd w:id="1"/>
    <w:bookmarkEnd w:id="2"/>
    <w:p w14:paraId="32CDC7AB" w14:textId="77777777" w:rsidR="00DF6D97" w:rsidRPr="00D52C4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D52C48">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14:paraId="1B71C1BE" w14:textId="77777777" w:rsidR="00DF6D97" w:rsidRPr="00D52C48" w:rsidRDefault="00DF6D97" w:rsidP="00DF6D97">
      <w:pPr>
        <w:autoSpaceDE w:val="0"/>
        <w:autoSpaceDN w:val="0"/>
        <w:spacing w:before="120" w:after="120" w:line="240" w:lineRule="auto"/>
        <w:jc w:val="both"/>
        <w:rPr>
          <w:rFonts w:asciiTheme="minorHAnsi" w:hAnsiTheme="minorHAnsi"/>
          <w:szCs w:val="22"/>
        </w:rPr>
      </w:pPr>
      <w:r w:rsidRPr="00D52C48">
        <w:rPr>
          <w:rFonts w:asciiTheme="minorHAnsi" w:eastAsiaTheme="minorHAnsi" w:hAnsiTheme="minorHAnsi" w:cs="Calibri"/>
          <w:szCs w:val="22"/>
          <w:lang w:eastAsia="en-US"/>
        </w:rPr>
        <w:t xml:space="preserve">Wybór wskaźników projektu powinien być powiązany z typem realizowanego przedsięwzięcia </w:t>
      </w:r>
      <w:r w:rsidRPr="00D52C48">
        <w:rPr>
          <w:rFonts w:asciiTheme="minorHAnsi" w:eastAsiaTheme="minorHAnsi" w:hAnsiTheme="minorHAnsi" w:cs="Calibri"/>
          <w:szCs w:val="22"/>
          <w:lang w:eastAsia="en-US"/>
        </w:rPr>
        <w:br/>
        <w:t xml:space="preserve">i planowanymi działaniami, które Wnioskodawca zamierza podjąć w ramach projektu. </w:t>
      </w:r>
      <w:r w:rsidRPr="00D52C48">
        <w:rPr>
          <w:rFonts w:asciiTheme="minorHAnsi" w:eastAsiaTheme="minorHAnsi" w:hAnsiTheme="minorHAnsi" w:cs="Calibri"/>
          <w:bCs/>
          <w:szCs w:val="22"/>
          <w:lang w:eastAsia="en-US"/>
        </w:rPr>
        <w:t>Do celu głównego projektu Wnioskodawca powinien dobrać odpowiednie wskaźniki, produktu i rezultatu</w:t>
      </w:r>
      <w:r w:rsidRPr="00D52C48">
        <w:rPr>
          <w:rFonts w:asciiTheme="minorHAnsi" w:eastAsiaTheme="minorHAnsi" w:hAnsiTheme="minorHAnsi" w:cs="Calibri"/>
          <w:szCs w:val="22"/>
          <w:lang w:eastAsia="en-US"/>
        </w:rPr>
        <w:t xml:space="preserve"> bezpośredniego. Muszą być logicznie powiązane z projektem i spójne. </w:t>
      </w:r>
    </w:p>
    <w:p w14:paraId="76224899" w14:textId="77777777" w:rsidR="00DF6D97" w:rsidRPr="00D52C4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D52C48">
        <w:rPr>
          <w:rFonts w:asciiTheme="minorHAnsi" w:hAnsiTheme="minorHAnsi"/>
          <w:szCs w:val="22"/>
        </w:rPr>
        <w:t>Każdy ze wskaźników powinien posiadać następujące cechy:</w:t>
      </w:r>
    </w:p>
    <w:p w14:paraId="1C4806BA"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adekwatność – wskaźnik powinien być dostosowany do charakteru projektu oraz oczekiwanych efektów związanych z jego realizacją;</w:t>
      </w:r>
    </w:p>
    <w:p w14:paraId="1236CBD7"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mierzalność – wskaźnik powinien być kwantyfikowalny, tj. wyrażony w wartościach liczbowych bądź finansowych;</w:t>
      </w:r>
    </w:p>
    <w:p w14:paraId="5B36A868"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wiarygodność – wskaźnik powinien być zdefiniowany w taki sposób, aby jego weryfikacja nie powodowała utrudnień;</w:t>
      </w:r>
    </w:p>
    <w:p w14:paraId="5AE78B8D"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dostępność – wskaźnik powinien być łatwy do określenia w wyniku realizacji projektu;</w:t>
      </w:r>
    </w:p>
    <w:p w14:paraId="7FE17E08"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określony w czasie – wartość wskaźnika powinna zostać określona w czasie, tj. określony rok osiągnięcia wartości docelowej wskaźnika oraz okres, w którym będzie mierzony wskaźnik</w:t>
      </w:r>
    </w:p>
    <w:p w14:paraId="08ACE2A2" w14:textId="77777777" w:rsidR="00DF6D97" w:rsidRPr="00D52C48"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D52C48">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14:paraId="6B7F1FB7" w14:textId="77777777" w:rsidR="00DF6D97" w:rsidRPr="00D52C48" w:rsidRDefault="00DF6D97" w:rsidP="00DF6D97">
      <w:pPr>
        <w:spacing w:before="120" w:after="120" w:line="240" w:lineRule="auto"/>
        <w:jc w:val="both"/>
        <w:rPr>
          <w:rFonts w:asciiTheme="minorHAnsi" w:hAnsiTheme="minorHAnsi"/>
          <w:b/>
          <w:szCs w:val="22"/>
        </w:rPr>
      </w:pPr>
    </w:p>
    <w:p w14:paraId="06F09889" w14:textId="77777777" w:rsidR="00DF6D97" w:rsidRPr="00D52C48" w:rsidRDefault="00DF6D97" w:rsidP="00DF6D97">
      <w:pPr>
        <w:spacing w:before="120" w:after="120" w:line="240" w:lineRule="auto"/>
        <w:jc w:val="both"/>
        <w:rPr>
          <w:rFonts w:asciiTheme="minorHAnsi" w:hAnsiTheme="minorHAnsi"/>
          <w:b/>
          <w:szCs w:val="22"/>
        </w:rPr>
      </w:pPr>
      <w:r w:rsidRPr="00D52C48">
        <w:rPr>
          <w:rFonts w:asciiTheme="minorHAnsi" w:hAnsiTheme="minorHAnsi"/>
          <w:b/>
          <w:szCs w:val="22"/>
        </w:rPr>
        <w:t>W ramach RPO WD 2014-2020 rozróżnia się następujące wskaźniki:</w:t>
      </w:r>
    </w:p>
    <w:p w14:paraId="5718665B"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obligatoryjne – wskaźniki ujęte w RPO WD 2014-2020, SZOOP RPO WD 2014-2020</w:t>
      </w:r>
    </w:p>
    <w:p w14:paraId="5E1B9FCD"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 xml:space="preserve">horyzontalne </w:t>
      </w:r>
    </w:p>
    <w:p w14:paraId="64CE6725"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dodatkowe – wskaźniki projektowe</w:t>
      </w:r>
    </w:p>
    <w:p w14:paraId="5D57D0F4" w14:textId="77777777" w:rsidR="00DF6D97" w:rsidRPr="00D52C48" w:rsidRDefault="00DF6D97" w:rsidP="00DF6D97">
      <w:pPr>
        <w:pStyle w:val="Akapitzlist"/>
        <w:spacing w:before="120" w:after="120" w:line="240" w:lineRule="auto"/>
        <w:ind w:left="720"/>
        <w:jc w:val="both"/>
        <w:rPr>
          <w:rFonts w:asciiTheme="minorHAnsi" w:hAnsiTheme="minorHAnsi"/>
          <w:b/>
          <w:szCs w:val="22"/>
        </w:rPr>
      </w:pPr>
    </w:p>
    <w:p w14:paraId="0CF80AAB" w14:textId="77777777" w:rsidR="00DF6D97" w:rsidRPr="00D52C48" w:rsidRDefault="00DF6D97" w:rsidP="00DF6D97">
      <w:pPr>
        <w:pStyle w:val="Nagwek1"/>
        <w:spacing w:before="120" w:after="120" w:line="240" w:lineRule="auto"/>
        <w:jc w:val="both"/>
        <w:rPr>
          <w:rFonts w:asciiTheme="minorHAnsi" w:hAnsiTheme="minorHAnsi"/>
          <w:sz w:val="22"/>
          <w:szCs w:val="22"/>
        </w:rPr>
      </w:pPr>
      <w:r w:rsidRPr="00D52C48">
        <w:rPr>
          <w:rFonts w:asciiTheme="minorHAnsi" w:hAnsiTheme="minorHAnsi"/>
          <w:sz w:val="22"/>
          <w:szCs w:val="22"/>
        </w:rPr>
        <w:t>Wymagania w zakresie wskaźników w projekcie</w:t>
      </w:r>
    </w:p>
    <w:p w14:paraId="22BDF66C" w14:textId="77777777" w:rsidR="00DF6D97" w:rsidRPr="00D52C48" w:rsidRDefault="00DF6D97" w:rsidP="00DF6D97">
      <w:pPr>
        <w:pStyle w:val="Default"/>
        <w:jc w:val="both"/>
        <w:rPr>
          <w:rFonts w:asciiTheme="minorHAnsi" w:eastAsiaTheme="minorHAnsi" w:hAnsiTheme="minorHAnsi" w:cs="Calibri"/>
          <w:sz w:val="22"/>
          <w:szCs w:val="22"/>
          <w:lang w:eastAsia="en-US"/>
        </w:rPr>
      </w:pPr>
      <w:r w:rsidRPr="00D52C48">
        <w:rPr>
          <w:rFonts w:asciiTheme="minorHAnsi" w:eastAsiaTheme="minorHAnsi" w:hAnsiTheme="minorHAnsi" w:cs="Calibri"/>
          <w:sz w:val="22"/>
          <w:szCs w:val="22"/>
          <w:lang w:eastAsia="en-US"/>
        </w:rPr>
        <w:t xml:space="preserve">W ramach wniosku o dofinansowanie projektu Wnioskodawca określa </w:t>
      </w:r>
      <w:r w:rsidRPr="00D52C48">
        <w:rPr>
          <w:rFonts w:asciiTheme="minorHAnsi" w:eastAsiaTheme="minorHAnsi" w:hAnsiTheme="minorHAnsi" w:cs="Calibri"/>
          <w:b/>
          <w:bCs/>
          <w:sz w:val="22"/>
          <w:szCs w:val="22"/>
          <w:lang w:eastAsia="en-US"/>
        </w:rPr>
        <w:t>wskaźniki służące pomiarowi działań i celów założonych w projekcie.</w:t>
      </w:r>
      <w:r w:rsidRPr="00D52C48">
        <w:rPr>
          <w:rFonts w:asciiTheme="minorHAnsi" w:eastAsiaTheme="minorHAnsi" w:hAnsiTheme="minorHAnsi" w:cs="Calibri"/>
          <w:sz w:val="22"/>
          <w:szCs w:val="22"/>
          <w:lang w:eastAsia="en-US"/>
        </w:rPr>
        <w:t xml:space="preserve"> Wskaźniki w ramach projektu należy określić mając </w:t>
      </w:r>
      <w:r w:rsidRPr="00D52C48">
        <w:rPr>
          <w:rFonts w:asciiTheme="minorHAnsi" w:eastAsiaTheme="minorHAnsi" w:hAnsiTheme="minorHAnsi" w:cs="Calibri"/>
          <w:sz w:val="22"/>
          <w:szCs w:val="22"/>
          <w:lang w:eastAsia="en-US"/>
        </w:rPr>
        <w:br/>
        <w:t>w szczególności na uwadze zapisy niniejszego regulaminu.</w:t>
      </w:r>
    </w:p>
    <w:p w14:paraId="6CA35ED4" w14:textId="77777777" w:rsidR="00DF6D97" w:rsidRPr="00D52C48" w:rsidRDefault="00DF6D97" w:rsidP="00DF6D97">
      <w:pPr>
        <w:pStyle w:val="Default"/>
        <w:jc w:val="both"/>
        <w:rPr>
          <w:rFonts w:asciiTheme="minorHAnsi" w:eastAsiaTheme="minorHAnsi" w:hAnsiTheme="minorHAnsi" w:cs="Calibri"/>
          <w:sz w:val="22"/>
          <w:szCs w:val="22"/>
          <w:lang w:eastAsia="en-US"/>
        </w:rPr>
      </w:pPr>
    </w:p>
    <w:p w14:paraId="5279E3CD" w14:textId="77777777" w:rsidR="00DF6D97" w:rsidRPr="00D52C48" w:rsidRDefault="00DF6D97" w:rsidP="00DF6D97">
      <w:pPr>
        <w:pStyle w:val="Default"/>
        <w:jc w:val="both"/>
        <w:rPr>
          <w:rFonts w:asciiTheme="minorHAnsi" w:hAnsiTheme="minorHAnsi"/>
          <w:b/>
          <w:sz w:val="22"/>
          <w:szCs w:val="22"/>
        </w:rPr>
      </w:pPr>
      <w:r w:rsidRPr="00D52C48">
        <w:rPr>
          <w:rFonts w:asciiTheme="minorHAnsi" w:eastAsiaTheme="minorHAnsi" w:hAnsiTheme="minorHAnsi" w:cs="Calibri"/>
          <w:sz w:val="22"/>
          <w:szCs w:val="22"/>
          <w:lang w:eastAsia="en-US"/>
        </w:rPr>
        <w:t xml:space="preserve"> </w:t>
      </w:r>
      <w:r w:rsidRPr="00D52C48">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14:paraId="292501D2" w14:textId="77777777" w:rsidR="00DF6D97" w:rsidRPr="00D52C48" w:rsidRDefault="00DF6D97" w:rsidP="008B73B1">
      <w:pPr>
        <w:autoSpaceDE w:val="0"/>
        <w:autoSpaceDN w:val="0"/>
        <w:adjustRightInd w:val="0"/>
        <w:spacing w:line="240" w:lineRule="auto"/>
        <w:ind w:firstLine="708"/>
        <w:jc w:val="both"/>
        <w:rPr>
          <w:rFonts w:asciiTheme="minorHAnsi" w:hAnsiTheme="minorHAnsi" w:cs="Arial"/>
          <w:color w:val="000000"/>
          <w:szCs w:val="22"/>
        </w:rPr>
      </w:pPr>
      <w:r w:rsidRPr="00D52C48">
        <w:rPr>
          <w:rFonts w:asciiTheme="minorHAnsi" w:hAnsiTheme="minorHAnsi" w:cs="Arial"/>
          <w:b/>
          <w:color w:val="000000"/>
          <w:szCs w:val="22"/>
        </w:rPr>
        <w:t>W</w:t>
      </w:r>
      <w:r w:rsidRPr="00D52C48">
        <w:rPr>
          <w:rFonts w:asciiTheme="minorHAnsi" w:hAnsiTheme="minorHAnsi" w:cs="Arial"/>
          <w:b/>
          <w:bCs/>
          <w:color w:val="000000"/>
          <w:szCs w:val="22"/>
        </w:rPr>
        <w:t>skaźniki produktu</w:t>
      </w:r>
      <w:r w:rsidRPr="00D52C48">
        <w:rPr>
          <w:rFonts w:asciiTheme="minorHAnsi" w:hAnsiTheme="minorHAnsi" w:cs="Arial"/>
          <w:bCs/>
          <w:color w:val="000000"/>
          <w:szCs w:val="22"/>
        </w:rPr>
        <w:t xml:space="preserve"> są to wskaźniki powiązane bezpośrednio z wydatkami ponoszonymi </w:t>
      </w:r>
      <w:r w:rsidRPr="00D52C48">
        <w:rPr>
          <w:rFonts w:asciiTheme="minorHAnsi" w:hAnsiTheme="minorHAnsi" w:cs="Arial"/>
          <w:bCs/>
          <w:color w:val="000000"/>
          <w:szCs w:val="22"/>
        </w:rPr>
        <w:br/>
        <w:t>w projekcie</w:t>
      </w:r>
      <w:r w:rsidRPr="00D52C48">
        <w:rPr>
          <w:rFonts w:asciiTheme="minorHAnsi" w:hAnsiTheme="minorHAnsi" w:cs="Arial"/>
          <w:color w:val="000000"/>
          <w:szCs w:val="22"/>
        </w:rPr>
        <w:t xml:space="preserve">, mierzone konkretnymi wielkościami. Liczone są w jednostkach fizycznych lub </w:t>
      </w:r>
      <w:r w:rsidRPr="00D52C48">
        <w:rPr>
          <w:rFonts w:asciiTheme="minorHAnsi" w:hAnsiTheme="minorHAnsi" w:cs="Arial"/>
          <w:color w:val="000000"/>
          <w:szCs w:val="22"/>
        </w:rPr>
        <w:lastRenderedPageBreak/>
        <w:t>monetarnych. Wybrane przez Wnioskodawcę wskaźniki muszą być adekwatne do zakresu projektu oraz mają być powiązane z głównymi kategoriami wydatków w projekcie.</w:t>
      </w:r>
    </w:p>
    <w:p w14:paraId="0BC3A0AC"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t xml:space="preserve">Dla każdego z wybranych wskaźników Wnioskodawca zobowiązany jest do wskazania </w:t>
      </w:r>
      <w:r w:rsidRPr="00D52C48">
        <w:rPr>
          <w:rFonts w:asciiTheme="minorHAnsi" w:hAnsiTheme="minorHAnsi"/>
          <w:i/>
          <w:sz w:val="22"/>
          <w:szCs w:val="22"/>
        </w:rPr>
        <w:t>„Jednostki miary”</w:t>
      </w:r>
      <w:r w:rsidRPr="00D52C48">
        <w:rPr>
          <w:rFonts w:asciiTheme="minorHAnsi" w:hAnsiTheme="minorHAnsi"/>
          <w:sz w:val="22"/>
          <w:szCs w:val="22"/>
        </w:rPr>
        <w:t xml:space="preserve">, </w:t>
      </w:r>
      <w:r w:rsidRPr="00D52C48">
        <w:rPr>
          <w:rFonts w:asciiTheme="minorHAnsi" w:hAnsiTheme="minorHAnsi"/>
          <w:i/>
          <w:sz w:val="22"/>
          <w:szCs w:val="22"/>
        </w:rPr>
        <w:t>„Wartości bazowej”</w:t>
      </w:r>
      <w:r w:rsidRPr="00D52C48">
        <w:rPr>
          <w:rFonts w:asciiTheme="minorHAnsi" w:hAnsiTheme="minorHAnsi"/>
          <w:sz w:val="22"/>
          <w:szCs w:val="22"/>
        </w:rPr>
        <w:t xml:space="preserve">, </w:t>
      </w:r>
      <w:r w:rsidRPr="00D52C48">
        <w:rPr>
          <w:rFonts w:asciiTheme="minorHAnsi" w:hAnsiTheme="minorHAnsi"/>
          <w:i/>
          <w:sz w:val="22"/>
          <w:szCs w:val="22"/>
        </w:rPr>
        <w:t>„Wartości docelowej wskaźnika”</w:t>
      </w:r>
      <w:r w:rsidRPr="00D52C48">
        <w:rPr>
          <w:rFonts w:asciiTheme="minorHAnsi" w:hAnsiTheme="minorHAnsi"/>
          <w:sz w:val="22"/>
          <w:szCs w:val="22"/>
        </w:rPr>
        <w:t xml:space="preserve">, a także </w:t>
      </w:r>
      <w:r w:rsidRPr="00D52C48">
        <w:rPr>
          <w:rFonts w:asciiTheme="minorHAnsi" w:hAnsiTheme="minorHAnsi"/>
          <w:i/>
          <w:sz w:val="22"/>
          <w:szCs w:val="22"/>
        </w:rPr>
        <w:t>„Źródła informacji o wskaźniku”</w:t>
      </w:r>
      <w:r w:rsidRPr="00D52C48">
        <w:rPr>
          <w:rFonts w:asciiTheme="minorHAnsi" w:hAnsiTheme="minorHAnsi"/>
          <w:sz w:val="22"/>
          <w:szCs w:val="22"/>
        </w:rPr>
        <w:t xml:space="preserve">. </w:t>
      </w:r>
    </w:p>
    <w:p w14:paraId="6AF78F9E"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t xml:space="preserve">Wartość docelowa dla wskaźnika produktu to wyrażony liczbowo stan danego wskaźnika na moment zakończenia rzeczowej realizacji projektu. </w:t>
      </w:r>
    </w:p>
    <w:p w14:paraId="364D95E3"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t xml:space="preserve">Jako źródło informacji o wskaźniku wskazać należy odpowiedni dokument (np. protokół odbioru robót). </w:t>
      </w:r>
    </w:p>
    <w:p w14:paraId="03EA316D" w14:textId="101F0D23" w:rsidR="0083665B" w:rsidRPr="00D52C48" w:rsidRDefault="00DF6D97" w:rsidP="00DF6D97">
      <w:pPr>
        <w:autoSpaceDE w:val="0"/>
        <w:autoSpaceDN w:val="0"/>
        <w:adjustRightInd w:val="0"/>
        <w:spacing w:before="120" w:after="120" w:line="240" w:lineRule="auto"/>
        <w:jc w:val="both"/>
        <w:rPr>
          <w:rFonts w:asciiTheme="minorHAnsi" w:hAnsiTheme="minorHAnsi"/>
          <w:b/>
          <w:szCs w:val="22"/>
        </w:rPr>
      </w:pPr>
      <w:r w:rsidRPr="00D52C48">
        <w:rPr>
          <w:rFonts w:asciiTheme="minorHAnsi" w:hAnsiTheme="minorHAnsi"/>
          <w:szCs w:val="22"/>
        </w:rPr>
        <w:t xml:space="preserve">W ramach Działania </w:t>
      </w:r>
      <w:r w:rsidR="00FA0CF9" w:rsidRPr="00D52C48">
        <w:rPr>
          <w:rFonts w:asciiTheme="minorHAnsi" w:hAnsiTheme="minorHAnsi"/>
          <w:szCs w:val="22"/>
        </w:rPr>
        <w:t>3.3 e</w:t>
      </w:r>
      <w:r w:rsidRPr="00D52C48">
        <w:rPr>
          <w:rFonts w:asciiTheme="minorHAnsi" w:hAnsiTheme="minorHAnsi"/>
          <w:szCs w:val="22"/>
        </w:rPr>
        <w:t xml:space="preserve"> określono poniższe wskaźniki </w:t>
      </w:r>
      <w:r w:rsidRPr="00D52C48">
        <w:rPr>
          <w:rFonts w:asciiTheme="minorHAnsi" w:hAnsiTheme="minorHAnsi"/>
          <w:b/>
          <w:szCs w:val="22"/>
        </w:rPr>
        <w:t>produktu:</w:t>
      </w:r>
    </w:p>
    <w:tbl>
      <w:tblPr>
        <w:tblW w:w="5171"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34"/>
        <w:gridCol w:w="1011"/>
        <w:gridCol w:w="4678"/>
        <w:gridCol w:w="1683"/>
      </w:tblGrid>
      <w:tr w:rsidR="00370466" w:rsidRPr="00D52C48" w14:paraId="4C1C482F" w14:textId="77777777" w:rsidTr="007B5608">
        <w:trPr>
          <w:cantSplit/>
          <w:trHeight w:val="20"/>
          <w:jc w:val="center"/>
        </w:trPr>
        <w:tc>
          <w:tcPr>
            <w:tcW w:w="1163" w:type="pct"/>
            <w:shd w:val="clear" w:color="auto" w:fill="auto"/>
            <w:vAlign w:val="center"/>
          </w:tcPr>
          <w:p w14:paraId="4A76E19D" w14:textId="77777777" w:rsidR="005657D8" w:rsidRPr="00D52C48" w:rsidRDefault="005657D8" w:rsidP="00EE4C8C">
            <w:pPr>
              <w:spacing w:before="0" w:line="240" w:lineRule="auto"/>
              <w:jc w:val="center"/>
              <w:rPr>
                <w:rFonts w:asciiTheme="minorHAnsi" w:hAnsiTheme="minorHAnsi"/>
                <w:b/>
                <w:szCs w:val="22"/>
              </w:rPr>
            </w:pPr>
            <w:r w:rsidRPr="00D52C48">
              <w:rPr>
                <w:rFonts w:asciiTheme="minorHAnsi" w:hAnsiTheme="minorHAnsi"/>
                <w:b/>
                <w:szCs w:val="22"/>
              </w:rPr>
              <w:t>Nazwa wskaźnika produktu</w:t>
            </w:r>
          </w:p>
        </w:tc>
        <w:tc>
          <w:tcPr>
            <w:tcW w:w="526" w:type="pct"/>
            <w:vAlign w:val="center"/>
          </w:tcPr>
          <w:p w14:paraId="4DBA14A8" w14:textId="77777777" w:rsidR="005657D8" w:rsidRPr="00D52C48" w:rsidRDefault="005657D8" w:rsidP="00EE4C8C">
            <w:pPr>
              <w:suppressAutoHyphens/>
              <w:spacing w:before="0" w:line="240" w:lineRule="auto"/>
              <w:jc w:val="center"/>
              <w:rPr>
                <w:rFonts w:asciiTheme="minorHAnsi" w:hAnsiTheme="minorHAnsi"/>
                <w:b/>
                <w:bCs/>
                <w:szCs w:val="22"/>
              </w:rPr>
            </w:pPr>
            <w:r w:rsidRPr="00D52C48">
              <w:rPr>
                <w:rFonts w:asciiTheme="minorHAnsi" w:hAnsiTheme="minorHAnsi"/>
                <w:b/>
                <w:bCs/>
                <w:szCs w:val="22"/>
              </w:rPr>
              <w:t>Jednostka miary</w:t>
            </w:r>
          </w:p>
        </w:tc>
        <w:tc>
          <w:tcPr>
            <w:tcW w:w="2435" w:type="pct"/>
            <w:shd w:val="clear" w:color="auto" w:fill="auto"/>
            <w:vAlign w:val="center"/>
          </w:tcPr>
          <w:p w14:paraId="76B75BF3" w14:textId="77777777" w:rsidR="005657D8" w:rsidRPr="00D52C48" w:rsidRDefault="005657D8" w:rsidP="00EE4C8C">
            <w:pPr>
              <w:suppressAutoHyphens/>
              <w:spacing w:before="0" w:line="240" w:lineRule="auto"/>
              <w:jc w:val="center"/>
              <w:rPr>
                <w:rFonts w:asciiTheme="minorHAnsi" w:hAnsiTheme="minorHAnsi"/>
                <w:b/>
                <w:szCs w:val="22"/>
              </w:rPr>
            </w:pPr>
            <w:r w:rsidRPr="00D52C48">
              <w:rPr>
                <w:rFonts w:asciiTheme="minorHAnsi" w:hAnsiTheme="minorHAnsi"/>
                <w:b/>
                <w:bCs/>
                <w:szCs w:val="22"/>
              </w:rPr>
              <w:t>Definicja wskaźnika</w:t>
            </w:r>
          </w:p>
        </w:tc>
        <w:tc>
          <w:tcPr>
            <w:tcW w:w="876" w:type="pct"/>
            <w:vAlign w:val="center"/>
          </w:tcPr>
          <w:p w14:paraId="734F8132" w14:textId="77777777" w:rsidR="005657D8" w:rsidRPr="00D52C48" w:rsidRDefault="005657D8" w:rsidP="00EE4C8C">
            <w:pPr>
              <w:suppressAutoHyphens/>
              <w:spacing w:before="0" w:line="240" w:lineRule="auto"/>
              <w:jc w:val="center"/>
              <w:rPr>
                <w:rFonts w:asciiTheme="minorHAnsi" w:hAnsiTheme="minorHAnsi"/>
                <w:b/>
                <w:bCs/>
                <w:szCs w:val="22"/>
              </w:rPr>
            </w:pPr>
            <w:r w:rsidRPr="00D52C48">
              <w:rPr>
                <w:rFonts w:asciiTheme="minorHAnsi" w:hAnsiTheme="minorHAnsi"/>
                <w:b/>
                <w:bCs/>
                <w:szCs w:val="22"/>
              </w:rPr>
              <w:t>Rodzaj dokumentu, w</w:t>
            </w:r>
            <w:r w:rsidR="007E025A" w:rsidRPr="00D52C48">
              <w:rPr>
                <w:rFonts w:asciiTheme="minorHAnsi" w:hAnsiTheme="minorHAnsi"/>
                <w:b/>
                <w:bCs/>
                <w:szCs w:val="22"/>
              </w:rPr>
              <w:t> </w:t>
            </w:r>
            <w:r w:rsidRPr="00D52C48">
              <w:rPr>
                <w:rFonts w:asciiTheme="minorHAnsi" w:hAnsiTheme="minorHAnsi"/>
                <w:b/>
                <w:bCs/>
                <w:szCs w:val="22"/>
              </w:rPr>
              <w:t>którym określono wskaźnik</w:t>
            </w:r>
          </w:p>
        </w:tc>
      </w:tr>
      <w:tr w:rsidR="00FA0CF9" w:rsidRPr="00D52C48" w14:paraId="6C49C202" w14:textId="77777777" w:rsidTr="007B5608">
        <w:trPr>
          <w:cantSplit/>
          <w:trHeight w:val="20"/>
          <w:jc w:val="center"/>
        </w:trPr>
        <w:tc>
          <w:tcPr>
            <w:tcW w:w="1163" w:type="pct"/>
            <w:shd w:val="clear" w:color="auto" w:fill="auto"/>
            <w:vAlign w:val="center"/>
          </w:tcPr>
          <w:p w14:paraId="745629EB" w14:textId="54B071D7" w:rsidR="00FA0CF9" w:rsidRPr="00D52C48" w:rsidRDefault="00FA0CF9" w:rsidP="00EE4C8C">
            <w:pPr>
              <w:spacing w:before="0" w:line="240" w:lineRule="auto"/>
              <w:jc w:val="center"/>
              <w:rPr>
                <w:rFonts w:asciiTheme="minorHAnsi" w:hAnsiTheme="minorHAnsi" w:cs="Arial"/>
                <w:szCs w:val="22"/>
              </w:rPr>
            </w:pPr>
            <w:r w:rsidRPr="00D52C48">
              <w:rPr>
                <w:rFonts w:asciiTheme="minorHAnsi" w:hAnsiTheme="minorHAnsi" w:cs="Arial"/>
                <w:szCs w:val="22"/>
              </w:rPr>
              <w:t>Liczba zmodernizowanych źródeł ciepła</w:t>
            </w:r>
          </w:p>
        </w:tc>
        <w:tc>
          <w:tcPr>
            <w:tcW w:w="526" w:type="pct"/>
            <w:vAlign w:val="center"/>
          </w:tcPr>
          <w:p w14:paraId="28930AAB" w14:textId="4047AAD5" w:rsidR="00FA0CF9" w:rsidRPr="00D52C48" w:rsidRDefault="00FA0CF9" w:rsidP="00EE4C8C">
            <w:pPr>
              <w:suppressAutoHyphens/>
              <w:spacing w:before="0" w:line="240" w:lineRule="auto"/>
              <w:jc w:val="center"/>
              <w:rPr>
                <w:rFonts w:asciiTheme="minorHAnsi" w:hAnsiTheme="minorHAnsi" w:cs="Arial"/>
                <w:szCs w:val="22"/>
              </w:rPr>
            </w:pPr>
            <w:r w:rsidRPr="00D52C48">
              <w:rPr>
                <w:rFonts w:asciiTheme="minorHAnsi" w:hAnsiTheme="minorHAnsi" w:cs="ArialNarrow"/>
                <w:color w:val="000000" w:themeColor="text1"/>
                <w:szCs w:val="22"/>
              </w:rPr>
              <w:t>[szt.]</w:t>
            </w:r>
          </w:p>
        </w:tc>
        <w:tc>
          <w:tcPr>
            <w:tcW w:w="2435" w:type="pct"/>
            <w:shd w:val="clear" w:color="auto" w:fill="auto"/>
            <w:vAlign w:val="center"/>
          </w:tcPr>
          <w:p w14:paraId="2C0D03FC" w14:textId="1B70CFAA" w:rsidR="00FA0CF9" w:rsidRPr="00D52C48" w:rsidRDefault="00A22869" w:rsidP="00A22869">
            <w:pPr>
              <w:suppressAutoHyphens/>
              <w:spacing w:before="0" w:line="240" w:lineRule="auto"/>
              <w:jc w:val="both"/>
              <w:rPr>
                <w:rFonts w:asciiTheme="minorHAnsi" w:hAnsiTheme="minorHAnsi" w:cs="Arial"/>
                <w:szCs w:val="22"/>
              </w:rPr>
            </w:pPr>
            <w:r w:rsidRPr="00D52C48">
              <w:rPr>
                <w:rFonts w:asciiTheme="minorHAnsi" w:hAnsiTheme="minorHAnsi" w:cs="TimesNewRoman,Bold"/>
                <w:szCs w:val="22"/>
              </w:rPr>
              <w:t>Liczba zmodernizowanych w wyniku realizacji projektu źródeł ciepła.</w:t>
            </w:r>
          </w:p>
        </w:tc>
        <w:tc>
          <w:tcPr>
            <w:tcW w:w="876" w:type="pct"/>
            <w:vAlign w:val="center"/>
          </w:tcPr>
          <w:p w14:paraId="0A5EA76D" w14:textId="64CA1A61" w:rsidR="00FA0CF9" w:rsidRPr="00D52C48" w:rsidRDefault="00FA0CF9" w:rsidP="00EE4C8C">
            <w:pPr>
              <w:suppressAutoHyphens/>
              <w:spacing w:before="0" w:line="240" w:lineRule="auto"/>
              <w:jc w:val="center"/>
              <w:rPr>
                <w:rFonts w:asciiTheme="minorHAnsi" w:hAnsiTheme="minorHAnsi" w:cs="Arial"/>
                <w:szCs w:val="22"/>
              </w:rPr>
            </w:pPr>
            <w:r w:rsidRPr="00D52C48">
              <w:rPr>
                <w:rFonts w:asciiTheme="minorHAnsi" w:hAnsiTheme="minorHAnsi"/>
                <w:szCs w:val="22"/>
              </w:rPr>
              <w:t>SZOOP RPO  WD 2014-2020</w:t>
            </w:r>
          </w:p>
        </w:tc>
      </w:tr>
      <w:tr w:rsidR="00FA0CF9" w:rsidRPr="00D52C48" w14:paraId="6010B26B" w14:textId="77777777" w:rsidTr="007B5608">
        <w:trPr>
          <w:cantSplit/>
          <w:trHeight w:val="20"/>
          <w:jc w:val="center"/>
        </w:trPr>
        <w:tc>
          <w:tcPr>
            <w:tcW w:w="1163" w:type="pct"/>
            <w:shd w:val="clear" w:color="auto" w:fill="auto"/>
            <w:vAlign w:val="center"/>
          </w:tcPr>
          <w:p w14:paraId="70FF4011" w14:textId="4A943C96" w:rsidR="00FA0CF9" w:rsidRPr="00D52C48" w:rsidRDefault="00FA0CF9" w:rsidP="00EE4C8C">
            <w:pPr>
              <w:spacing w:before="0" w:line="240" w:lineRule="auto"/>
              <w:jc w:val="center"/>
              <w:rPr>
                <w:rFonts w:asciiTheme="minorHAnsi" w:hAnsiTheme="minorHAnsi" w:cs="Arial"/>
                <w:szCs w:val="22"/>
              </w:rPr>
            </w:pPr>
            <w:r w:rsidRPr="00D52C48">
              <w:rPr>
                <w:rFonts w:asciiTheme="minorHAnsi" w:hAnsiTheme="minorHAnsi" w:cs="Arial"/>
                <w:szCs w:val="22"/>
              </w:rPr>
              <w:t>Liczba wybudowanych jednostek wytwarzania energii elektrycznej z OZE</w:t>
            </w:r>
          </w:p>
        </w:tc>
        <w:tc>
          <w:tcPr>
            <w:tcW w:w="526" w:type="pct"/>
            <w:vAlign w:val="center"/>
          </w:tcPr>
          <w:p w14:paraId="0B49C56A" w14:textId="13E33E2B" w:rsidR="00FA0CF9" w:rsidRPr="00D52C48" w:rsidRDefault="00FA0CF9" w:rsidP="00EE4C8C">
            <w:pPr>
              <w:suppressAutoHyphens/>
              <w:spacing w:before="0" w:line="240" w:lineRule="auto"/>
              <w:jc w:val="center"/>
              <w:rPr>
                <w:rFonts w:asciiTheme="minorHAnsi" w:hAnsiTheme="minorHAnsi" w:cs="ArialNarrow"/>
                <w:color w:val="000000" w:themeColor="text1"/>
                <w:szCs w:val="22"/>
              </w:rPr>
            </w:pPr>
            <w:r w:rsidRPr="00D52C48">
              <w:rPr>
                <w:rFonts w:asciiTheme="minorHAnsi" w:hAnsiTheme="minorHAnsi" w:cs="ArialNarrow"/>
                <w:color w:val="000000" w:themeColor="text1"/>
                <w:szCs w:val="22"/>
              </w:rPr>
              <w:t>[szt.]</w:t>
            </w:r>
          </w:p>
        </w:tc>
        <w:tc>
          <w:tcPr>
            <w:tcW w:w="2435" w:type="pct"/>
            <w:shd w:val="clear" w:color="auto" w:fill="auto"/>
            <w:vAlign w:val="center"/>
          </w:tcPr>
          <w:p w14:paraId="0A0DBAA3" w14:textId="77777777" w:rsidR="00A22869" w:rsidRPr="00D52C48" w:rsidRDefault="00A22869" w:rsidP="00A22869">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Jednostka wytwarzania energii elektrycznej obejmuje: </w:t>
            </w:r>
          </w:p>
          <w:p w14:paraId="52F12661" w14:textId="4BBDC74C" w:rsidR="00A22869" w:rsidRPr="00D52C48" w:rsidRDefault="00A22869" w:rsidP="00A22869">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14:paraId="084A503C" w14:textId="203AC7BF" w:rsidR="00A22869" w:rsidRPr="00D52C48" w:rsidRDefault="00A22869" w:rsidP="00A22869">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w przypadku budynków mieszkalnych i budynków użyteczności publicznej: zespół urządzeń służących do wytwarzania energii elektrycznej z OZE.</w:t>
            </w:r>
          </w:p>
          <w:p w14:paraId="28272317" w14:textId="25F4B1FD" w:rsidR="00FA0CF9" w:rsidRPr="00D52C48" w:rsidRDefault="00A22869" w:rsidP="00A22869">
            <w:pPr>
              <w:suppressAutoHyphens/>
              <w:spacing w:before="0" w:line="240" w:lineRule="auto"/>
              <w:jc w:val="both"/>
              <w:rPr>
                <w:rFonts w:asciiTheme="minorHAnsi" w:hAnsiTheme="minorHAnsi" w:cs="Arial"/>
                <w:szCs w:val="22"/>
              </w:rPr>
            </w:pPr>
            <w:r w:rsidRPr="00D52C48">
              <w:rPr>
                <w:rFonts w:asciiTheme="minorHAnsi" w:hAnsiTheme="minorHAnsi" w:cs="TimesNewRoman,Bold"/>
                <w:szCs w:val="22"/>
              </w:rPr>
              <w:t>Odnawialne źródła energii – rozumiane zgodnie z ustawą z dnia 20 lutego 2015 r. o odnawialnych źródłach energii.</w:t>
            </w:r>
          </w:p>
        </w:tc>
        <w:tc>
          <w:tcPr>
            <w:tcW w:w="876" w:type="pct"/>
            <w:vAlign w:val="center"/>
          </w:tcPr>
          <w:p w14:paraId="0079E9F3" w14:textId="1984C000" w:rsidR="00FA0CF9" w:rsidRPr="00D52C48" w:rsidRDefault="00FA0CF9" w:rsidP="00EE4C8C">
            <w:pPr>
              <w:suppressAutoHyphens/>
              <w:spacing w:before="0" w:line="240" w:lineRule="auto"/>
              <w:jc w:val="center"/>
              <w:rPr>
                <w:rFonts w:asciiTheme="minorHAnsi" w:hAnsiTheme="minorHAnsi"/>
                <w:szCs w:val="22"/>
              </w:rPr>
            </w:pPr>
            <w:r w:rsidRPr="00D52C48">
              <w:rPr>
                <w:rFonts w:asciiTheme="minorHAnsi" w:hAnsiTheme="minorHAnsi"/>
                <w:szCs w:val="22"/>
              </w:rPr>
              <w:t>SZOOP RPO  WD 2014-2020</w:t>
            </w:r>
          </w:p>
        </w:tc>
      </w:tr>
      <w:tr w:rsidR="00FA0CF9" w:rsidRPr="00D52C48" w14:paraId="6D6088AF" w14:textId="77777777" w:rsidTr="007B5608">
        <w:trPr>
          <w:cantSplit/>
          <w:trHeight w:val="20"/>
          <w:jc w:val="center"/>
        </w:trPr>
        <w:tc>
          <w:tcPr>
            <w:tcW w:w="1163" w:type="pct"/>
            <w:shd w:val="clear" w:color="auto" w:fill="auto"/>
            <w:vAlign w:val="center"/>
          </w:tcPr>
          <w:p w14:paraId="22C46301" w14:textId="169B17CF" w:rsidR="00FA0CF9" w:rsidRPr="00D52C48" w:rsidRDefault="00FA0CF9" w:rsidP="00EE4C8C">
            <w:pPr>
              <w:spacing w:before="0" w:line="240" w:lineRule="auto"/>
              <w:jc w:val="center"/>
              <w:rPr>
                <w:rFonts w:asciiTheme="minorHAnsi" w:hAnsiTheme="minorHAnsi" w:cs="Arial"/>
                <w:szCs w:val="22"/>
              </w:rPr>
            </w:pPr>
            <w:r w:rsidRPr="00D52C48">
              <w:rPr>
                <w:rFonts w:asciiTheme="minorHAnsi" w:hAnsiTheme="minorHAnsi" w:cs="Arial"/>
                <w:szCs w:val="22"/>
              </w:rPr>
              <w:t>Liczba wybudowanych jednostek wytwarzania energii cieplnej z OZE</w:t>
            </w:r>
          </w:p>
        </w:tc>
        <w:tc>
          <w:tcPr>
            <w:tcW w:w="526" w:type="pct"/>
            <w:vAlign w:val="center"/>
          </w:tcPr>
          <w:p w14:paraId="6316E8D0" w14:textId="11B8E598" w:rsidR="00FA0CF9" w:rsidRPr="00D52C48" w:rsidRDefault="00FA0CF9" w:rsidP="00EE4C8C">
            <w:pPr>
              <w:suppressAutoHyphens/>
              <w:spacing w:before="0" w:line="240" w:lineRule="auto"/>
              <w:jc w:val="center"/>
              <w:rPr>
                <w:rFonts w:asciiTheme="minorHAnsi" w:hAnsiTheme="minorHAnsi" w:cs="ArialNarrow"/>
                <w:color w:val="000000" w:themeColor="text1"/>
                <w:szCs w:val="22"/>
              </w:rPr>
            </w:pPr>
            <w:r w:rsidRPr="00D52C48">
              <w:rPr>
                <w:rFonts w:asciiTheme="minorHAnsi" w:hAnsiTheme="minorHAnsi" w:cs="ArialNarrow"/>
                <w:color w:val="000000" w:themeColor="text1"/>
                <w:szCs w:val="22"/>
              </w:rPr>
              <w:t>[szt.]</w:t>
            </w:r>
          </w:p>
        </w:tc>
        <w:tc>
          <w:tcPr>
            <w:tcW w:w="2435" w:type="pct"/>
            <w:shd w:val="clear" w:color="auto" w:fill="auto"/>
            <w:vAlign w:val="center"/>
          </w:tcPr>
          <w:p w14:paraId="6DFB36C7" w14:textId="77777777" w:rsidR="00A22869" w:rsidRPr="00D52C48" w:rsidRDefault="00A22869" w:rsidP="00A22869">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Jednostka wytwarzania energii cieplnej obejmuje: </w:t>
            </w:r>
          </w:p>
          <w:p w14:paraId="59715824" w14:textId="77777777" w:rsidR="00A22869" w:rsidRPr="00D52C48" w:rsidRDefault="00A22869" w:rsidP="00A22869">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14:paraId="6C4F53FD" w14:textId="77777777" w:rsidR="00A22869" w:rsidRPr="00D52C48" w:rsidRDefault="00A22869" w:rsidP="00A22869">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w przypadku budynków mieszkalnych i budynków użyteczności publicznej: zespół urządzeń służących do wytwarzania energii cieplnej z OZE.</w:t>
            </w:r>
          </w:p>
          <w:p w14:paraId="3A55F4DD" w14:textId="77777777" w:rsidR="00A22869" w:rsidRPr="00D52C48" w:rsidRDefault="00A22869" w:rsidP="00A22869">
            <w:pPr>
              <w:autoSpaceDE w:val="0"/>
              <w:autoSpaceDN w:val="0"/>
              <w:adjustRightInd w:val="0"/>
              <w:spacing w:before="0" w:line="240" w:lineRule="auto"/>
              <w:jc w:val="both"/>
              <w:rPr>
                <w:rFonts w:asciiTheme="minorHAnsi" w:hAnsiTheme="minorHAnsi" w:cs="TimesNewRoman,Bold"/>
                <w:szCs w:val="22"/>
              </w:rPr>
            </w:pPr>
          </w:p>
          <w:p w14:paraId="00EE7066" w14:textId="0E9FA81E" w:rsidR="00FA0CF9" w:rsidRPr="00D52C48" w:rsidRDefault="00A22869" w:rsidP="00A22869">
            <w:pPr>
              <w:suppressAutoHyphens/>
              <w:spacing w:before="0" w:line="240" w:lineRule="auto"/>
              <w:jc w:val="both"/>
              <w:rPr>
                <w:rFonts w:asciiTheme="minorHAnsi" w:hAnsiTheme="minorHAnsi" w:cs="Arial"/>
                <w:szCs w:val="22"/>
              </w:rPr>
            </w:pPr>
            <w:r w:rsidRPr="00D52C48">
              <w:rPr>
                <w:rFonts w:asciiTheme="minorHAnsi" w:hAnsiTheme="minorHAnsi" w:cs="TimesNewRoman,Bold"/>
                <w:szCs w:val="22"/>
              </w:rPr>
              <w:t>Odnawialne źródła energii – rozumiane zgodnie z ustawą z dnia 20 lutego 2015 r. o odnawialnych źródłach energii.</w:t>
            </w:r>
          </w:p>
        </w:tc>
        <w:tc>
          <w:tcPr>
            <w:tcW w:w="876" w:type="pct"/>
            <w:vAlign w:val="center"/>
          </w:tcPr>
          <w:p w14:paraId="565A9DB2" w14:textId="6315501B" w:rsidR="00FA0CF9" w:rsidRPr="00D52C48" w:rsidRDefault="00FA0CF9" w:rsidP="00EE4C8C">
            <w:pPr>
              <w:suppressAutoHyphens/>
              <w:spacing w:before="0" w:line="240" w:lineRule="auto"/>
              <w:jc w:val="center"/>
              <w:rPr>
                <w:rFonts w:asciiTheme="minorHAnsi" w:hAnsiTheme="minorHAnsi"/>
                <w:szCs w:val="22"/>
              </w:rPr>
            </w:pPr>
            <w:r w:rsidRPr="00D52C48">
              <w:rPr>
                <w:rFonts w:asciiTheme="minorHAnsi" w:hAnsiTheme="minorHAnsi"/>
                <w:szCs w:val="22"/>
              </w:rPr>
              <w:t>SZOOP RPO  WD 2014-2020</w:t>
            </w:r>
          </w:p>
        </w:tc>
      </w:tr>
      <w:tr w:rsidR="00346FD6" w:rsidRPr="00D52C48" w14:paraId="21F7D801" w14:textId="77777777" w:rsidTr="007B5608">
        <w:trPr>
          <w:trHeight w:val="20"/>
          <w:jc w:val="center"/>
        </w:trPr>
        <w:tc>
          <w:tcPr>
            <w:tcW w:w="1163" w:type="pct"/>
            <w:shd w:val="clear" w:color="auto" w:fill="auto"/>
          </w:tcPr>
          <w:p w14:paraId="7223EB4F" w14:textId="77777777" w:rsidR="00346FD6" w:rsidRPr="00D52C48" w:rsidRDefault="00346FD6" w:rsidP="00EE4C8C">
            <w:pPr>
              <w:spacing w:before="0" w:line="240" w:lineRule="auto"/>
              <w:rPr>
                <w:rFonts w:asciiTheme="minorHAnsi" w:hAnsiTheme="minorHAnsi"/>
                <w:szCs w:val="22"/>
              </w:rPr>
            </w:pPr>
            <w:r w:rsidRPr="00D52C48">
              <w:rPr>
                <w:rFonts w:asciiTheme="minorHAnsi" w:hAnsiTheme="minorHAnsi"/>
                <w:szCs w:val="22"/>
              </w:rPr>
              <w:lastRenderedPageBreak/>
              <w:t>Liczba obiektów dostosowanych do potrzeb osób z niepełnosprawnościami</w:t>
            </w:r>
          </w:p>
        </w:tc>
        <w:tc>
          <w:tcPr>
            <w:tcW w:w="526" w:type="pct"/>
          </w:tcPr>
          <w:p w14:paraId="6707177B" w14:textId="77777777" w:rsidR="00346FD6" w:rsidRPr="00D52C48" w:rsidRDefault="00346FD6" w:rsidP="00934566">
            <w:pPr>
              <w:spacing w:before="0" w:line="240" w:lineRule="auto"/>
              <w:jc w:val="center"/>
              <w:rPr>
                <w:rFonts w:asciiTheme="minorHAnsi" w:hAnsiTheme="minorHAnsi" w:cs="ArialNarrow"/>
                <w:szCs w:val="22"/>
              </w:rPr>
            </w:pPr>
            <w:r w:rsidRPr="00D52C48">
              <w:rPr>
                <w:rFonts w:asciiTheme="minorHAnsi" w:hAnsiTheme="minorHAnsi"/>
                <w:szCs w:val="22"/>
              </w:rPr>
              <w:t>[szt.]</w:t>
            </w:r>
          </w:p>
        </w:tc>
        <w:tc>
          <w:tcPr>
            <w:tcW w:w="2435" w:type="pct"/>
            <w:shd w:val="clear" w:color="auto" w:fill="auto"/>
          </w:tcPr>
          <w:p w14:paraId="161CA52D"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w:t>
            </w:r>
          </w:p>
          <w:p w14:paraId="63F95A81"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Jako obiekty budowlane należy rozumieć konstrukcje połączone z gruntem w sposób </w:t>
            </w:r>
          </w:p>
          <w:p w14:paraId="7011F8AD"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trwały, wykonane z materiałów budowlanych i elementów składowych, będące </w:t>
            </w:r>
          </w:p>
          <w:p w14:paraId="7C7E01AD"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wynikiem prac budowlanych (wg. def. PKOB). </w:t>
            </w:r>
          </w:p>
          <w:p w14:paraId="09133B5E"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Należy podać liczbę obiektów, a nie sprzętów, urządzeń itp., w które obiekty zaopatrzono. </w:t>
            </w:r>
          </w:p>
          <w:p w14:paraId="41D93FD1" w14:textId="77777777"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Jeśli instytucja, zakład itp. składa się z kilku obiektów, należy zliczyć wszystkie, które dostosowano do potrzeb osób niepełnosprawnych. </w:t>
            </w:r>
          </w:p>
        </w:tc>
        <w:tc>
          <w:tcPr>
            <w:tcW w:w="876" w:type="pct"/>
          </w:tcPr>
          <w:p w14:paraId="46721762" w14:textId="77777777" w:rsidR="00346FD6" w:rsidRPr="00D52C48" w:rsidRDefault="00346FD6" w:rsidP="003F1889">
            <w:pPr>
              <w:autoSpaceDE w:val="0"/>
              <w:autoSpaceDN w:val="0"/>
              <w:adjustRightInd w:val="0"/>
              <w:spacing w:before="0" w:line="240" w:lineRule="auto"/>
              <w:jc w:val="center"/>
              <w:rPr>
                <w:rFonts w:asciiTheme="minorHAnsi" w:hAnsiTheme="minorHAnsi"/>
                <w:szCs w:val="22"/>
              </w:rPr>
            </w:pPr>
            <w:r w:rsidRPr="00D52C48">
              <w:rPr>
                <w:rFonts w:asciiTheme="minorHAnsi" w:hAnsiTheme="minorHAnsi"/>
                <w:szCs w:val="22"/>
              </w:rPr>
              <w:t>Horyzontalny</w:t>
            </w:r>
          </w:p>
        </w:tc>
      </w:tr>
      <w:tr w:rsidR="00FA0CF9" w:rsidRPr="00D52C48" w14:paraId="6F8DF74B" w14:textId="77777777" w:rsidTr="007B5608">
        <w:trPr>
          <w:trHeight w:val="20"/>
          <w:jc w:val="center"/>
        </w:trPr>
        <w:tc>
          <w:tcPr>
            <w:tcW w:w="1163" w:type="pct"/>
            <w:shd w:val="clear" w:color="auto" w:fill="auto"/>
          </w:tcPr>
          <w:p w14:paraId="05137EFB" w14:textId="6023AE63" w:rsidR="00FA0CF9" w:rsidRPr="00D52C48" w:rsidRDefault="00FA0CF9" w:rsidP="00EE4C8C">
            <w:pPr>
              <w:spacing w:before="0" w:line="240" w:lineRule="auto"/>
              <w:rPr>
                <w:rFonts w:asciiTheme="minorHAnsi" w:hAnsiTheme="minorHAnsi"/>
                <w:szCs w:val="22"/>
              </w:rPr>
            </w:pPr>
            <w:r w:rsidRPr="00D52C48">
              <w:rPr>
                <w:rFonts w:asciiTheme="minorHAnsi" w:hAnsiTheme="minorHAnsi"/>
                <w:szCs w:val="22"/>
              </w:rPr>
              <w:t>Liczba projektów, w których sfinansowano koszty racjonalnych usprawnień dla osób z niepełnosprawnościami</w:t>
            </w:r>
          </w:p>
        </w:tc>
        <w:tc>
          <w:tcPr>
            <w:tcW w:w="526" w:type="pct"/>
          </w:tcPr>
          <w:p w14:paraId="57FB0BB8" w14:textId="3EA3E531" w:rsidR="00FA0CF9" w:rsidRPr="00D52C48" w:rsidRDefault="00FA0CF9" w:rsidP="00934566">
            <w:pPr>
              <w:spacing w:before="0" w:line="240" w:lineRule="auto"/>
              <w:jc w:val="center"/>
              <w:rPr>
                <w:rFonts w:asciiTheme="minorHAnsi" w:hAnsiTheme="minorHAnsi"/>
                <w:szCs w:val="22"/>
              </w:rPr>
            </w:pPr>
            <w:r w:rsidRPr="00D52C48">
              <w:rPr>
                <w:rFonts w:asciiTheme="minorHAnsi" w:hAnsiTheme="minorHAnsi"/>
                <w:szCs w:val="22"/>
              </w:rPr>
              <w:t>[szt.]</w:t>
            </w:r>
          </w:p>
        </w:tc>
        <w:tc>
          <w:tcPr>
            <w:tcW w:w="2435" w:type="pct"/>
            <w:shd w:val="clear" w:color="auto" w:fill="auto"/>
          </w:tcPr>
          <w:p w14:paraId="47B91144" w14:textId="77777777" w:rsidR="0006794A" w:rsidRPr="00D52C48" w:rsidRDefault="0006794A" w:rsidP="0006794A">
            <w:pPr>
              <w:autoSpaceDE w:val="0"/>
              <w:autoSpaceDN w:val="0"/>
              <w:adjustRightInd w:val="0"/>
              <w:spacing w:before="0" w:line="240" w:lineRule="auto"/>
              <w:jc w:val="both"/>
              <w:rPr>
                <w:rFonts w:asciiTheme="minorHAnsi" w:hAnsiTheme="minorHAnsi" w:cs="TimesNewRoman,Bold"/>
                <w:szCs w:val="22"/>
              </w:rPr>
            </w:pPr>
            <w:r w:rsidRPr="00D52C48">
              <w:rPr>
                <w:rFonts w:asciiTheme="minorHAnsi" w:eastAsiaTheme="minorHAnsi" w:hAnsiTheme="minorHAnsi" w:cs="Arial"/>
                <w:color w:val="000000"/>
                <w:szCs w:val="22"/>
                <w:lang w:eastAsia="en-US"/>
              </w:rPr>
              <w:t>R</w:t>
            </w:r>
            <w:r w:rsidRPr="00D52C48">
              <w:rPr>
                <w:rFonts w:asciiTheme="minorHAnsi" w:hAnsiTheme="minorHAnsi" w:cs="TimesNewRoman,Bold"/>
                <w:szCs w:val="22"/>
              </w:rPr>
              <w:t xml:space="preserve">acjonalne usprawnienie oznacza konieczne i odpowiednie zmiany oraz dostosowania, nie nakładające nieproporcjonalnego lub nadmiernego obciążenia, jeśli jest potrzebne w konkretnym przypadku, w celu zapewnienia osobom z niepełnosprawnościami możliwości korzystania z wszelkich praw człowieka i podstawowych wolności oraz ich wykonywania na zasadzie równości z innymi osobami (zgodnie z art. 2 Konwencji o prawach osób niepełnosprawnych). Wskaźnik mierzony w momencie rozliczenia wydatku związanego z racjonalnymi usprawnieniami. </w:t>
            </w:r>
          </w:p>
          <w:p w14:paraId="21D842B5" w14:textId="77777777" w:rsidR="0006794A" w:rsidRPr="00D52C48" w:rsidRDefault="0006794A" w:rsidP="0006794A">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Przykłady racjonalnych usprawnień: tłumacz języka migowego, transport niskopodłogowy, dostosowanie infrastruktury (nie tylko budynku, ale też sprzętu np. komputer, czytnik dla osób niewidzących), osoby asystujące, odpowiednie dostosowanie wyżywienia. </w:t>
            </w:r>
          </w:p>
          <w:p w14:paraId="0083EDE7" w14:textId="77777777" w:rsidR="0006794A" w:rsidRPr="00D52C48" w:rsidRDefault="0006794A" w:rsidP="0006794A">
            <w:pPr>
              <w:spacing w:before="0" w:line="240" w:lineRule="auto"/>
              <w:jc w:val="both"/>
              <w:rPr>
                <w:rFonts w:asciiTheme="minorHAnsi" w:hAnsiTheme="minorHAnsi" w:cs="TimesNewRoman,Bold"/>
                <w:szCs w:val="22"/>
              </w:rPr>
            </w:pPr>
            <w:r w:rsidRPr="00D52C48">
              <w:rPr>
                <w:rFonts w:asciiTheme="minorHAnsi" w:hAnsiTheme="minorHAnsi" w:cs="TimesNewRoman,Bold"/>
                <w:szCs w:val="22"/>
              </w:rPr>
              <w:t>Wybór wskaźnika dot. finansowania racjonalnych usprawnień powoduje konieczność wskazania również wskaźnika: liczba obiektów dostosowanych do osób z nieprawidłowościami.</w:t>
            </w:r>
          </w:p>
          <w:p w14:paraId="604A69B8" w14:textId="77777777" w:rsidR="0006794A" w:rsidRPr="00D52C48" w:rsidRDefault="0006794A" w:rsidP="0006794A">
            <w:pPr>
              <w:spacing w:before="0" w:line="240" w:lineRule="auto"/>
              <w:jc w:val="both"/>
              <w:rPr>
                <w:rFonts w:asciiTheme="minorHAnsi" w:hAnsiTheme="minorHAnsi" w:cs="TimesNewRoman,Bold"/>
                <w:szCs w:val="22"/>
              </w:rPr>
            </w:pPr>
          </w:p>
          <w:p w14:paraId="54FD75F2" w14:textId="0B0C3561" w:rsidR="00FA0CF9" w:rsidRPr="00D52C48" w:rsidRDefault="0006794A" w:rsidP="0006794A">
            <w:pPr>
              <w:spacing w:before="0" w:line="240" w:lineRule="auto"/>
              <w:jc w:val="both"/>
              <w:rPr>
                <w:rFonts w:asciiTheme="minorHAnsi" w:hAnsiTheme="minorHAnsi" w:cs="TimesNewRoman,Bold"/>
                <w:szCs w:val="22"/>
              </w:rPr>
            </w:pPr>
            <w:r w:rsidRPr="00D52C48">
              <w:rPr>
                <w:rFonts w:asciiTheme="minorHAnsi" w:hAnsiTheme="minorHAnsi" w:cs="TimesNewRoman,Bold"/>
                <w:szCs w:val="22"/>
              </w:rPr>
              <w:t>Definicja na podstawie: Agenda działań na rzecz równości szans i niedyskryminacji osób z nieprawidłowościami w ramach funduszy unijnych 2014-2020.</w:t>
            </w:r>
          </w:p>
        </w:tc>
        <w:tc>
          <w:tcPr>
            <w:tcW w:w="876" w:type="pct"/>
          </w:tcPr>
          <w:p w14:paraId="1AA2B888" w14:textId="308A15C0" w:rsidR="00FA0CF9" w:rsidRPr="00D52C48" w:rsidRDefault="00FA0CF9" w:rsidP="003F1889">
            <w:pPr>
              <w:autoSpaceDE w:val="0"/>
              <w:autoSpaceDN w:val="0"/>
              <w:adjustRightInd w:val="0"/>
              <w:spacing w:before="0" w:line="240" w:lineRule="auto"/>
              <w:jc w:val="center"/>
              <w:rPr>
                <w:rFonts w:asciiTheme="minorHAnsi" w:hAnsiTheme="minorHAnsi"/>
                <w:szCs w:val="22"/>
              </w:rPr>
            </w:pPr>
            <w:r w:rsidRPr="00D52C48">
              <w:rPr>
                <w:rFonts w:asciiTheme="minorHAnsi" w:hAnsiTheme="minorHAnsi"/>
                <w:szCs w:val="22"/>
              </w:rPr>
              <w:t>Horyzontalny</w:t>
            </w:r>
          </w:p>
        </w:tc>
      </w:tr>
      <w:tr w:rsidR="00FA0CF9" w:rsidRPr="00D52C48" w14:paraId="58793DF7" w14:textId="77777777" w:rsidTr="007B5608">
        <w:trPr>
          <w:trHeight w:val="20"/>
          <w:jc w:val="center"/>
        </w:trPr>
        <w:tc>
          <w:tcPr>
            <w:tcW w:w="1163" w:type="pct"/>
            <w:shd w:val="clear" w:color="auto" w:fill="auto"/>
          </w:tcPr>
          <w:p w14:paraId="5C680BEF" w14:textId="0C6F3281" w:rsidR="00FA0CF9" w:rsidRPr="00D52C48" w:rsidRDefault="00FA0CF9" w:rsidP="00EE4C8C">
            <w:pPr>
              <w:spacing w:before="0" w:line="240" w:lineRule="auto"/>
              <w:rPr>
                <w:rFonts w:asciiTheme="minorHAnsi" w:hAnsiTheme="minorHAnsi"/>
                <w:szCs w:val="22"/>
              </w:rPr>
            </w:pPr>
            <w:r w:rsidRPr="00D52C48">
              <w:rPr>
                <w:rFonts w:asciiTheme="minorHAnsi" w:hAnsiTheme="minorHAnsi"/>
                <w:szCs w:val="22"/>
              </w:rPr>
              <w:t>Liczba podmiotów wykorzystujących technologie informacyjno- komunikacyjne</w:t>
            </w:r>
          </w:p>
        </w:tc>
        <w:tc>
          <w:tcPr>
            <w:tcW w:w="526" w:type="pct"/>
          </w:tcPr>
          <w:p w14:paraId="1E9EB056" w14:textId="654AFD1F" w:rsidR="00FA0CF9" w:rsidRPr="00D52C48" w:rsidRDefault="00FA0CF9" w:rsidP="00934566">
            <w:pPr>
              <w:spacing w:before="0" w:line="240" w:lineRule="auto"/>
              <w:jc w:val="center"/>
              <w:rPr>
                <w:rFonts w:asciiTheme="minorHAnsi" w:hAnsiTheme="minorHAnsi"/>
                <w:szCs w:val="22"/>
              </w:rPr>
            </w:pPr>
            <w:r w:rsidRPr="00D52C48">
              <w:rPr>
                <w:rFonts w:asciiTheme="minorHAnsi" w:hAnsiTheme="minorHAnsi"/>
                <w:szCs w:val="22"/>
              </w:rPr>
              <w:t>[szt.]</w:t>
            </w:r>
          </w:p>
        </w:tc>
        <w:tc>
          <w:tcPr>
            <w:tcW w:w="2435" w:type="pct"/>
            <w:shd w:val="clear" w:color="auto" w:fill="auto"/>
          </w:tcPr>
          <w:p w14:paraId="48DF84EB" w14:textId="3A8580E1" w:rsidR="00FA0CF9" w:rsidRPr="00D52C48" w:rsidRDefault="00FA0CF9" w:rsidP="00FA0CF9">
            <w:pPr>
              <w:pStyle w:val="Default"/>
              <w:jc w:val="both"/>
              <w:rPr>
                <w:rFonts w:asciiTheme="minorHAnsi" w:hAnsiTheme="minorHAnsi"/>
                <w:sz w:val="22"/>
                <w:szCs w:val="22"/>
              </w:rPr>
            </w:pPr>
            <w:r w:rsidRPr="00D52C48">
              <w:rPr>
                <w:rFonts w:asciiTheme="minorHAnsi" w:hAnsiTheme="minorHAnsi"/>
                <w:sz w:val="22"/>
                <w:szCs w:val="22"/>
              </w:rPr>
              <w:t>Wskaźnik mierzy liczbę podmiotów, które w celu realizacji projektu zainwestowały w technologie informacyjno-komunikacyjne, 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tc>
        <w:tc>
          <w:tcPr>
            <w:tcW w:w="876" w:type="pct"/>
          </w:tcPr>
          <w:p w14:paraId="41FB159F" w14:textId="7FCC45A5" w:rsidR="00FA0CF9" w:rsidRPr="00D52C48" w:rsidRDefault="00FA0CF9" w:rsidP="003F1889">
            <w:pPr>
              <w:autoSpaceDE w:val="0"/>
              <w:autoSpaceDN w:val="0"/>
              <w:adjustRightInd w:val="0"/>
              <w:spacing w:before="0" w:line="240" w:lineRule="auto"/>
              <w:jc w:val="center"/>
              <w:rPr>
                <w:rFonts w:asciiTheme="minorHAnsi" w:hAnsiTheme="minorHAnsi"/>
                <w:szCs w:val="22"/>
              </w:rPr>
            </w:pPr>
            <w:r w:rsidRPr="00D52C48">
              <w:rPr>
                <w:rFonts w:asciiTheme="minorHAnsi" w:hAnsiTheme="minorHAnsi"/>
                <w:szCs w:val="22"/>
              </w:rPr>
              <w:t>Horyzontalny</w:t>
            </w:r>
          </w:p>
        </w:tc>
      </w:tr>
      <w:tr w:rsidR="00346FD6" w:rsidRPr="00D52C48" w14:paraId="51E48DA4" w14:textId="77777777" w:rsidTr="007B5608">
        <w:trPr>
          <w:trHeight w:val="20"/>
          <w:jc w:val="center"/>
        </w:trPr>
        <w:tc>
          <w:tcPr>
            <w:tcW w:w="1163" w:type="pct"/>
            <w:shd w:val="clear" w:color="auto" w:fill="auto"/>
          </w:tcPr>
          <w:p w14:paraId="3C266A31" w14:textId="77777777" w:rsidR="00346FD6" w:rsidRPr="00D52C48" w:rsidRDefault="00346FD6" w:rsidP="00EE4C8C">
            <w:pPr>
              <w:spacing w:before="0" w:line="240" w:lineRule="auto"/>
              <w:rPr>
                <w:rFonts w:asciiTheme="minorHAnsi" w:hAnsiTheme="minorHAnsi"/>
                <w:szCs w:val="22"/>
              </w:rPr>
            </w:pPr>
            <w:r w:rsidRPr="00D52C48">
              <w:rPr>
                <w:rFonts w:asciiTheme="minorHAnsi" w:hAnsiTheme="minorHAnsi"/>
                <w:szCs w:val="22"/>
              </w:rPr>
              <w:t>Liczba osób objętych szkoleniami/doradztwem w zakresie kompetencji cyfrowych [O/K/M]</w:t>
            </w:r>
          </w:p>
        </w:tc>
        <w:tc>
          <w:tcPr>
            <w:tcW w:w="526" w:type="pct"/>
          </w:tcPr>
          <w:p w14:paraId="28C4ACC0" w14:textId="77777777" w:rsidR="00346FD6" w:rsidRPr="00D52C48" w:rsidRDefault="00346FD6" w:rsidP="00934566">
            <w:pPr>
              <w:spacing w:before="0" w:line="240" w:lineRule="auto"/>
              <w:jc w:val="center"/>
              <w:rPr>
                <w:rFonts w:asciiTheme="minorHAnsi" w:hAnsiTheme="minorHAnsi" w:cs="ArialNarrow"/>
                <w:szCs w:val="22"/>
              </w:rPr>
            </w:pPr>
            <w:r w:rsidRPr="00D52C48">
              <w:rPr>
                <w:rFonts w:asciiTheme="minorHAnsi" w:hAnsiTheme="minorHAnsi"/>
                <w:szCs w:val="22"/>
              </w:rPr>
              <w:t>[osoby]</w:t>
            </w:r>
          </w:p>
        </w:tc>
        <w:tc>
          <w:tcPr>
            <w:tcW w:w="2435" w:type="pct"/>
            <w:shd w:val="clear" w:color="auto" w:fill="auto"/>
          </w:tcPr>
          <w:p w14:paraId="2AF39EB3" w14:textId="68243E15" w:rsidR="00346FD6" w:rsidRPr="00D52C48" w:rsidRDefault="00346FD6" w:rsidP="00FA0CF9">
            <w:pPr>
              <w:pStyle w:val="Default"/>
              <w:jc w:val="both"/>
              <w:rPr>
                <w:rFonts w:asciiTheme="minorHAnsi" w:hAnsiTheme="minorHAnsi"/>
                <w:sz w:val="22"/>
                <w:szCs w:val="22"/>
              </w:rPr>
            </w:pPr>
            <w:r w:rsidRPr="00D52C48">
              <w:rPr>
                <w:rFonts w:asciiTheme="minorHAnsi" w:hAnsiTheme="minorHAnsi"/>
                <w:sz w:val="22"/>
                <w:szCs w:val="22"/>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tc>
        <w:tc>
          <w:tcPr>
            <w:tcW w:w="876" w:type="pct"/>
          </w:tcPr>
          <w:p w14:paraId="5F1C0B26" w14:textId="77777777" w:rsidR="00346FD6" w:rsidRPr="00D52C48" w:rsidRDefault="00346FD6" w:rsidP="003F1889">
            <w:pPr>
              <w:autoSpaceDE w:val="0"/>
              <w:autoSpaceDN w:val="0"/>
              <w:adjustRightInd w:val="0"/>
              <w:spacing w:before="0" w:line="240" w:lineRule="auto"/>
              <w:jc w:val="center"/>
              <w:rPr>
                <w:rFonts w:asciiTheme="minorHAnsi" w:hAnsiTheme="minorHAnsi"/>
                <w:szCs w:val="22"/>
              </w:rPr>
            </w:pPr>
            <w:r w:rsidRPr="00D52C48">
              <w:rPr>
                <w:rFonts w:asciiTheme="minorHAnsi" w:hAnsiTheme="minorHAnsi"/>
                <w:szCs w:val="22"/>
              </w:rPr>
              <w:t>Horyzontalny</w:t>
            </w:r>
          </w:p>
        </w:tc>
      </w:tr>
    </w:tbl>
    <w:p w14:paraId="6C97564C" w14:textId="77777777" w:rsidR="00DF6D97" w:rsidRPr="00D52C48" w:rsidRDefault="00DF6D97" w:rsidP="007650AC">
      <w:pPr>
        <w:autoSpaceDE w:val="0"/>
        <w:autoSpaceDN w:val="0"/>
        <w:adjustRightInd w:val="0"/>
        <w:spacing w:before="0" w:line="240" w:lineRule="auto"/>
        <w:jc w:val="both"/>
        <w:rPr>
          <w:rFonts w:asciiTheme="minorHAnsi" w:hAnsiTheme="minorHAnsi"/>
        </w:rPr>
      </w:pPr>
    </w:p>
    <w:p w14:paraId="6FF776B3" w14:textId="77777777" w:rsidR="00781388" w:rsidRPr="00D52C48" w:rsidRDefault="00781388" w:rsidP="007650AC">
      <w:pPr>
        <w:autoSpaceDE w:val="0"/>
        <w:autoSpaceDN w:val="0"/>
        <w:adjustRightInd w:val="0"/>
        <w:spacing w:before="0" w:line="240" w:lineRule="auto"/>
        <w:jc w:val="both"/>
        <w:rPr>
          <w:rFonts w:asciiTheme="minorHAnsi" w:hAnsiTheme="minorHAnsi"/>
        </w:rPr>
      </w:pPr>
    </w:p>
    <w:p w14:paraId="04D69A2C" w14:textId="77777777" w:rsidR="00DF6D97" w:rsidRPr="00D52C48" w:rsidRDefault="00DF6D97" w:rsidP="00781388">
      <w:pPr>
        <w:spacing w:before="0" w:after="200" w:line="276" w:lineRule="auto"/>
        <w:jc w:val="both"/>
        <w:rPr>
          <w:rFonts w:asciiTheme="minorHAnsi" w:hAnsiTheme="minorHAnsi" w:cs="Arial"/>
          <w:szCs w:val="22"/>
        </w:rPr>
      </w:pPr>
      <w:r w:rsidRPr="00D52C48">
        <w:rPr>
          <w:rFonts w:asciiTheme="minorHAnsi" w:hAnsiTheme="minorHAnsi"/>
          <w:b/>
          <w:szCs w:val="22"/>
        </w:rPr>
        <w:t>Wskaźniki rezultatu bezpośredniego</w:t>
      </w:r>
      <w:r w:rsidRPr="00D52C48">
        <w:rPr>
          <w:rFonts w:asciiTheme="minorHAnsi" w:hAnsiTheme="minorHAnsi"/>
          <w:szCs w:val="22"/>
        </w:rPr>
        <w:t xml:space="preserve"> są to w</w:t>
      </w:r>
      <w:r w:rsidRPr="00D52C48">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14:paraId="37E54780" w14:textId="77777777" w:rsidR="00DF6D97" w:rsidRPr="00D52C48" w:rsidRDefault="00DF6D97" w:rsidP="00781388">
      <w:pPr>
        <w:pStyle w:val="Default"/>
        <w:jc w:val="both"/>
        <w:rPr>
          <w:rFonts w:asciiTheme="minorHAnsi" w:hAnsiTheme="minorHAnsi"/>
          <w:sz w:val="22"/>
          <w:szCs w:val="22"/>
        </w:rPr>
      </w:pPr>
    </w:p>
    <w:p w14:paraId="71F4D835" w14:textId="77777777" w:rsidR="00DF6D97" w:rsidRPr="00D52C48" w:rsidRDefault="00DF6D97" w:rsidP="00781388">
      <w:pPr>
        <w:pStyle w:val="Default"/>
        <w:jc w:val="both"/>
        <w:rPr>
          <w:rFonts w:asciiTheme="minorHAnsi" w:hAnsiTheme="minorHAnsi"/>
          <w:sz w:val="22"/>
          <w:szCs w:val="22"/>
        </w:rPr>
      </w:pPr>
      <w:r w:rsidRPr="00D52C48">
        <w:rPr>
          <w:rFonts w:asciiTheme="minorHAnsi" w:hAnsiTheme="minorHAnsi"/>
          <w:sz w:val="22"/>
          <w:szCs w:val="22"/>
        </w:rPr>
        <w:t xml:space="preserve">Dla każdego z wybranych wskaźników Wnioskodawca zobowiązany jest do wskazania </w:t>
      </w:r>
      <w:r w:rsidRPr="00D52C48">
        <w:rPr>
          <w:rFonts w:asciiTheme="minorHAnsi" w:hAnsiTheme="minorHAnsi"/>
          <w:i/>
          <w:sz w:val="22"/>
          <w:szCs w:val="22"/>
        </w:rPr>
        <w:t>„Jednostki miary”</w:t>
      </w:r>
      <w:r w:rsidRPr="00D52C48">
        <w:rPr>
          <w:rFonts w:asciiTheme="minorHAnsi" w:hAnsiTheme="minorHAnsi"/>
          <w:sz w:val="22"/>
          <w:szCs w:val="22"/>
        </w:rPr>
        <w:t xml:space="preserve">, </w:t>
      </w:r>
      <w:r w:rsidRPr="00D52C48">
        <w:rPr>
          <w:rFonts w:asciiTheme="minorHAnsi" w:hAnsiTheme="minorHAnsi"/>
          <w:i/>
          <w:sz w:val="22"/>
          <w:szCs w:val="22"/>
        </w:rPr>
        <w:t>„Wartości bazowej”</w:t>
      </w:r>
      <w:r w:rsidRPr="00D52C48">
        <w:rPr>
          <w:rFonts w:asciiTheme="minorHAnsi" w:hAnsiTheme="minorHAnsi"/>
          <w:sz w:val="22"/>
          <w:szCs w:val="22"/>
        </w:rPr>
        <w:t xml:space="preserve">, </w:t>
      </w:r>
      <w:r w:rsidRPr="00D52C48">
        <w:rPr>
          <w:rFonts w:asciiTheme="minorHAnsi" w:hAnsiTheme="minorHAnsi"/>
          <w:i/>
          <w:sz w:val="22"/>
          <w:szCs w:val="22"/>
        </w:rPr>
        <w:t>„Wartości docelowej wskaźnika”</w:t>
      </w:r>
      <w:r w:rsidRPr="00D52C48">
        <w:rPr>
          <w:rFonts w:asciiTheme="minorHAnsi" w:hAnsiTheme="minorHAnsi"/>
          <w:sz w:val="22"/>
          <w:szCs w:val="22"/>
        </w:rPr>
        <w:t xml:space="preserve">, a także </w:t>
      </w:r>
      <w:r w:rsidRPr="00D52C48">
        <w:rPr>
          <w:rFonts w:asciiTheme="minorHAnsi" w:hAnsiTheme="minorHAnsi"/>
          <w:i/>
          <w:sz w:val="22"/>
          <w:szCs w:val="22"/>
        </w:rPr>
        <w:t>„Źródła informacji o wskaźniku”</w:t>
      </w:r>
      <w:r w:rsidRPr="00D52C48">
        <w:rPr>
          <w:rFonts w:asciiTheme="minorHAnsi" w:hAnsiTheme="minorHAnsi"/>
          <w:sz w:val="22"/>
          <w:szCs w:val="22"/>
        </w:rPr>
        <w:t xml:space="preserve">. </w:t>
      </w:r>
    </w:p>
    <w:p w14:paraId="591759DF" w14:textId="77777777" w:rsidR="00DF6D97" w:rsidRPr="00D52C48" w:rsidRDefault="00DF6D97" w:rsidP="00781388">
      <w:pPr>
        <w:pStyle w:val="Default"/>
        <w:jc w:val="both"/>
        <w:rPr>
          <w:rFonts w:asciiTheme="minorHAnsi" w:hAnsiTheme="minorHAnsi"/>
          <w:sz w:val="22"/>
          <w:szCs w:val="22"/>
        </w:rPr>
      </w:pPr>
      <w:r w:rsidRPr="00D52C48">
        <w:rPr>
          <w:rFonts w:asciiTheme="minorHAnsi" w:hAnsiTheme="minorHAnsi"/>
          <w:sz w:val="22"/>
          <w:szCs w:val="22"/>
        </w:rPr>
        <w:t xml:space="preserve">Wartość docelowa dla wskaźnika rezultatu to wyrażony liczbowo stan danego wskaźnika uzyskany w efekcie realizacji projektu </w:t>
      </w:r>
    </w:p>
    <w:p w14:paraId="6FDF9A26" w14:textId="77777777" w:rsidR="00DF6D97" w:rsidRPr="00D52C48" w:rsidRDefault="00DF6D97" w:rsidP="00781388">
      <w:pPr>
        <w:autoSpaceDE w:val="0"/>
        <w:autoSpaceDN w:val="0"/>
        <w:adjustRightInd w:val="0"/>
        <w:spacing w:before="0" w:line="240" w:lineRule="auto"/>
        <w:jc w:val="both"/>
        <w:rPr>
          <w:rFonts w:asciiTheme="minorHAnsi" w:hAnsiTheme="minorHAnsi"/>
          <w:szCs w:val="22"/>
        </w:rPr>
      </w:pPr>
      <w:r w:rsidRPr="00D52C48">
        <w:rPr>
          <w:rFonts w:asciiTheme="minorHAnsi" w:hAnsiTheme="minorHAnsi"/>
          <w:szCs w:val="22"/>
        </w:rPr>
        <w:t xml:space="preserve">Jako źródło informacji o wskaźniku wskazać należy odpowiedni dokument (np. ewidencja </w:t>
      </w:r>
      <w:r w:rsidR="00E93BEA" w:rsidRPr="00D52C48">
        <w:rPr>
          <w:rFonts w:asciiTheme="minorHAnsi" w:hAnsiTheme="minorHAnsi"/>
          <w:szCs w:val="22"/>
        </w:rPr>
        <w:t xml:space="preserve">ludności, dokumentacja techniczna </w:t>
      </w:r>
      <w:r w:rsidRPr="00D52C48">
        <w:rPr>
          <w:rFonts w:asciiTheme="minorHAnsi" w:hAnsiTheme="minorHAnsi"/>
          <w:szCs w:val="22"/>
        </w:rPr>
        <w:t>).</w:t>
      </w:r>
    </w:p>
    <w:p w14:paraId="5459EDA2" w14:textId="77777777" w:rsidR="00FA0CF9" w:rsidRPr="00D52C48" w:rsidRDefault="00FA0CF9" w:rsidP="007650AC">
      <w:pPr>
        <w:spacing w:line="240" w:lineRule="auto"/>
        <w:rPr>
          <w:rFonts w:cs="Arial"/>
          <w:szCs w:val="22"/>
        </w:rPr>
      </w:pPr>
    </w:p>
    <w:p w14:paraId="49A28D7C" w14:textId="68B202B7" w:rsidR="008C495E" w:rsidRPr="00D52C48" w:rsidRDefault="003D3BC5" w:rsidP="007650AC">
      <w:pPr>
        <w:autoSpaceDE w:val="0"/>
        <w:autoSpaceDN w:val="0"/>
        <w:adjustRightInd w:val="0"/>
        <w:spacing w:before="120" w:after="120" w:line="240" w:lineRule="auto"/>
        <w:jc w:val="both"/>
        <w:rPr>
          <w:rFonts w:asciiTheme="minorHAnsi" w:hAnsiTheme="minorHAnsi"/>
          <w:szCs w:val="22"/>
        </w:rPr>
      </w:pPr>
      <w:r w:rsidRPr="00D52C48">
        <w:rPr>
          <w:rFonts w:asciiTheme="minorHAnsi" w:hAnsiTheme="minorHAnsi"/>
          <w:szCs w:val="22"/>
        </w:rPr>
        <w:t xml:space="preserve">W ramach Działania </w:t>
      </w:r>
      <w:r w:rsidR="00FA0CF9" w:rsidRPr="00D52C48">
        <w:rPr>
          <w:rFonts w:asciiTheme="minorHAnsi" w:hAnsiTheme="minorHAnsi"/>
          <w:szCs w:val="22"/>
        </w:rPr>
        <w:t>3.3 e</w:t>
      </w:r>
      <w:r w:rsidRPr="00D52C48">
        <w:rPr>
          <w:rFonts w:asciiTheme="minorHAnsi" w:hAnsiTheme="minorHAnsi"/>
          <w:szCs w:val="22"/>
        </w:rPr>
        <w:t xml:space="preserve"> określono poniższe wskaźniki</w:t>
      </w:r>
      <w:r w:rsidRPr="00D52C48">
        <w:rPr>
          <w:rFonts w:asciiTheme="minorHAnsi" w:hAnsiTheme="minorHAnsi"/>
          <w:b/>
          <w:szCs w:val="22"/>
        </w:rPr>
        <w:t xml:space="preserve"> rezultatu bezpośredniego</w:t>
      </w:r>
      <w:r w:rsidRPr="00D52C48">
        <w:rPr>
          <w:rFonts w:asciiTheme="minorHAnsi" w:hAnsiTheme="minorHAnsi"/>
          <w:szCs w:val="22"/>
        </w:rPr>
        <w:t>:</w:t>
      </w:r>
    </w:p>
    <w:tbl>
      <w:tblPr>
        <w:tblW w:w="946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2129"/>
        <w:gridCol w:w="1611"/>
        <w:gridCol w:w="3921"/>
        <w:gridCol w:w="1803"/>
      </w:tblGrid>
      <w:tr w:rsidR="005657D8" w:rsidRPr="00D52C48" w14:paraId="648E3AD2" w14:textId="77777777" w:rsidTr="007B5608">
        <w:trPr>
          <w:trHeight w:val="20"/>
          <w:jc w:val="center"/>
        </w:trPr>
        <w:tc>
          <w:tcPr>
            <w:tcW w:w="0" w:type="auto"/>
            <w:shd w:val="clear" w:color="auto" w:fill="auto"/>
            <w:vAlign w:val="center"/>
          </w:tcPr>
          <w:p w14:paraId="7C1AB0CD" w14:textId="77777777" w:rsidR="005657D8" w:rsidRPr="00D52C48" w:rsidRDefault="005657D8" w:rsidP="00766AC5">
            <w:pPr>
              <w:spacing w:before="0" w:line="240" w:lineRule="auto"/>
              <w:jc w:val="center"/>
              <w:rPr>
                <w:rFonts w:asciiTheme="minorHAnsi" w:hAnsiTheme="minorHAnsi"/>
                <w:b/>
                <w:szCs w:val="22"/>
              </w:rPr>
            </w:pPr>
            <w:r w:rsidRPr="00D52C48">
              <w:rPr>
                <w:rFonts w:asciiTheme="minorHAnsi" w:hAnsiTheme="minorHAnsi"/>
                <w:b/>
                <w:szCs w:val="22"/>
              </w:rPr>
              <w:t>Nazwa wskaźnika rezultatu bezpośredniego</w:t>
            </w:r>
          </w:p>
        </w:tc>
        <w:tc>
          <w:tcPr>
            <w:tcW w:w="1611" w:type="dxa"/>
            <w:vAlign w:val="center"/>
          </w:tcPr>
          <w:p w14:paraId="26FD91C0" w14:textId="77777777" w:rsidR="005657D8" w:rsidRPr="00D52C48" w:rsidRDefault="005657D8" w:rsidP="00766AC5">
            <w:pPr>
              <w:suppressAutoHyphens/>
              <w:spacing w:before="0" w:line="240" w:lineRule="auto"/>
              <w:jc w:val="center"/>
              <w:rPr>
                <w:rFonts w:asciiTheme="minorHAnsi" w:hAnsiTheme="minorHAnsi"/>
                <w:b/>
                <w:bCs/>
                <w:szCs w:val="22"/>
              </w:rPr>
            </w:pPr>
            <w:r w:rsidRPr="00D52C48">
              <w:rPr>
                <w:rFonts w:asciiTheme="minorHAnsi" w:hAnsiTheme="minorHAnsi"/>
                <w:b/>
                <w:bCs/>
                <w:szCs w:val="22"/>
              </w:rPr>
              <w:t>Jednostka miary</w:t>
            </w:r>
          </w:p>
        </w:tc>
        <w:tc>
          <w:tcPr>
            <w:tcW w:w="3921" w:type="dxa"/>
            <w:shd w:val="clear" w:color="auto" w:fill="auto"/>
            <w:vAlign w:val="center"/>
          </w:tcPr>
          <w:p w14:paraId="68CD2E2A" w14:textId="77777777" w:rsidR="005657D8" w:rsidRPr="00D52C48" w:rsidRDefault="005657D8" w:rsidP="00766AC5">
            <w:pPr>
              <w:suppressAutoHyphens/>
              <w:spacing w:before="0" w:line="240" w:lineRule="auto"/>
              <w:jc w:val="center"/>
              <w:rPr>
                <w:rFonts w:asciiTheme="minorHAnsi" w:hAnsiTheme="minorHAnsi"/>
                <w:b/>
                <w:szCs w:val="22"/>
              </w:rPr>
            </w:pPr>
            <w:r w:rsidRPr="00D52C48">
              <w:rPr>
                <w:rFonts w:asciiTheme="minorHAnsi" w:hAnsiTheme="minorHAnsi"/>
                <w:b/>
                <w:bCs/>
                <w:szCs w:val="22"/>
              </w:rPr>
              <w:t>Definicja wskaźnika</w:t>
            </w:r>
          </w:p>
        </w:tc>
        <w:tc>
          <w:tcPr>
            <w:tcW w:w="1803" w:type="dxa"/>
            <w:vAlign w:val="center"/>
          </w:tcPr>
          <w:p w14:paraId="22710309" w14:textId="77777777" w:rsidR="005657D8" w:rsidRPr="00D52C48" w:rsidRDefault="007E025A" w:rsidP="00766AC5">
            <w:pPr>
              <w:suppressAutoHyphens/>
              <w:spacing w:before="0" w:line="240" w:lineRule="auto"/>
              <w:jc w:val="center"/>
              <w:rPr>
                <w:rFonts w:asciiTheme="minorHAnsi" w:hAnsiTheme="minorHAnsi"/>
                <w:b/>
                <w:bCs/>
                <w:szCs w:val="22"/>
              </w:rPr>
            </w:pPr>
            <w:r w:rsidRPr="00D52C48">
              <w:rPr>
                <w:rFonts w:asciiTheme="minorHAnsi" w:hAnsiTheme="minorHAnsi"/>
                <w:b/>
                <w:bCs/>
                <w:szCs w:val="22"/>
              </w:rPr>
              <w:t>Rodzaj dokumentu, w </w:t>
            </w:r>
            <w:r w:rsidR="005657D8" w:rsidRPr="00D52C48">
              <w:rPr>
                <w:rFonts w:asciiTheme="minorHAnsi" w:hAnsiTheme="minorHAnsi"/>
                <w:b/>
                <w:bCs/>
                <w:szCs w:val="22"/>
              </w:rPr>
              <w:t>którym określono wskaźnik</w:t>
            </w:r>
          </w:p>
        </w:tc>
      </w:tr>
      <w:tr w:rsidR="00FA0CF9" w:rsidRPr="00D52C48" w14:paraId="16E86301" w14:textId="77777777" w:rsidTr="007B5608">
        <w:trPr>
          <w:trHeight w:val="20"/>
          <w:jc w:val="center"/>
        </w:trPr>
        <w:tc>
          <w:tcPr>
            <w:tcW w:w="0" w:type="auto"/>
            <w:shd w:val="clear" w:color="auto" w:fill="auto"/>
          </w:tcPr>
          <w:p w14:paraId="6C62A257" w14:textId="051D97F0" w:rsidR="00FA0CF9" w:rsidRPr="00D52C48" w:rsidRDefault="00FA0CF9" w:rsidP="00766AC5">
            <w:pPr>
              <w:pStyle w:val="Default"/>
              <w:rPr>
                <w:rFonts w:asciiTheme="minorHAnsi" w:hAnsiTheme="minorHAnsi"/>
                <w:sz w:val="22"/>
                <w:szCs w:val="22"/>
              </w:rPr>
            </w:pPr>
            <w:r w:rsidRPr="00D52C48">
              <w:rPr>
                <w:rFonts w:asciiTheme="minorHAnsi" w:hAnsiTheme="minorHAnsi"/>
                <w:sz w:val="22"/>
                <w:szCs w:val="22"/>
              </w:rPr>
              <w:t>Szacowany roczny spadek emisji gazów cieplarnianych</w:t>
            </w:r>
          </w:p>
        </w:tc>
        <w:tc>
          <w:tcPr>
            <w:tcW w:w="1611" w:type="dxa"/>
          </w:tcPr>
          <w:p w14:paraId="1EFACC23" w14:textId="09E11DC6" w:rsidR="00FA0CF9" w:rsidRPr="00D52C48" w:rsidRDefault="00FA0CF9" w:rsidP="003F1889">
            <w:pPr>
              <w:spacing w:before="0" w:line="240" w:lineRule="auto"/>
              <w:jc w:val="center"/>
              <w:rPr>
                <w:rFonts w:asciiTheme="minorHAnsi" w:hAnsiTheme="minorHAnsi"/>
              </w:rPr>
            </w:pPr>
            <w:r w:rsidRPr="00D52C48">
              <w:t>Tony równoważnika CO</w:t>
            </w:r>
            <w:r w:rsidRPr="00D52C48">
              <w:rPr>
                <w:vertAlign w:val="subscript"/>
              </w:rPr>
              <w:t>2</w:t>
            </w:r>
          </w:p>
        </w:tc>
        <w:tc>
          <w:tcPr>
            <w:tcW w:w="3921" w:type="dxa"/>
            <w:shd w:val="clear" w:color="auto" w:fill="auto"/>
          </w:tcPr>
          <w:p w14:paraId="0BC7DD41" w14:textId="77777777" w:rsidR="00FA0CF9" w:rsidRPr="00D52C48" w:rsidRDefault="007B5608" w:rsidP="007B5608">
            <w:pPr>
              <w:autoSpaceDE w:val="0"/>
              <w:autoSpaceDN w:val="0"/>
              <w:adjustRightInd w:val="0"/>
              <w:spacing w:line="240" w:lineRule="auto"/>
              <w:jc w:val="both"/>
              <w:rPr>
                <w:rFonts w:asciiTheme="minorHAnsi" w:hAnsiTheme="minorHAnsi"/>
                <w:szCs w:val="22"/>
              </w:rPr>
            </w:pPr>
            <w:r w:rsidRPr="00D52C48">
              <w:rPr>
                <w:rFonts w:asciiTheme="minorHAnsi" w:hAnsiTheme="minorHAnsi"/>
                <w:szCs w:val="22"/>
              </w:rPr>
              <w:t>Wersja robocza tłumaczenia: Wskaźnik ten jest liczony dla interwencji bezpośrednio zwiększających produkcję energii ze źródeł odnawialnych lub zmniejszających zużycie energii za pomocą działań uzyskujących oszczędność energii, dlatego też jego stosowanie jest obowiązkowe tylko w przypadkach, gdzie wskaźniki te są istotne. Stosowanie wskaźnika w przypadku innych interwencji, gdzie możliwe są skutki emisji gazów cieplarnianych, jest opcjonalne przy użyciu metodologii opracowanej przez IZ. Wskaźnik pokaże całkowity szacowany roczny spadek na koniec okresu, a nie całkowity spadek w całym okresie. W przypadku produkcji energii odnawialnej, prognoza opiera się na ilości energii pierwotnej produkowanej przez wsparte przedsiębiorstwa/ podmioty w danym roku (albo rok po zakończeniu projektu lub rok kalendarzowy po zakończeniu projektu). Energia odnawialna powinna być neutralna pod względem emisji gazów cieplarnianych i powinna zastąpić produkcję energii ze źródeł nieodnawialnych. Wpływ emisji gazów cieplarnianych w przypadku energii nieodnawialnej jest szacowany poprzez całkowitą emisję przez państwo członkowskie gazów cieplarnianych na jednostkę produkcji energii nieodnawialnej. W przypadku działań uzyskujących oszczędność energii, prognoza opiera się na ilości energii pierwotnej oszczędzonej w danym roku w ramach wspieranych operacji (albo rok po zakończeniu projektu, albo rok kalendarzowy po zakończeniu projektu). Zaoszczędzona energia ma zastąpić produkcję energii ze źródeł nieodnawialnych. Wpływ emisji gazów cieplarnianych w przypadku energii nieodnawialnej jest szacowany poprzez całkowitą emisję przez państwo członkowskie gazów</w:t>
            </w:r>
          </w:p>
          <w:p w14:paraId="16760DBE" w14:textId="55E5FF9E" w:rsidR="007B5608" w:rsidRPr="00D52C48" w:rsidRDefault="007B5608" w:rsidP="007B5608">
            <w:pPr>
              <w:autoSpaceDE w:val="0"/>
              <w:autoSpaceDN w:val="0"/>
              <w:adjustRightInd w:val="0"/>
              <w:spacing w:line="240" w:lineRule="auto"/>
              <w:jc w:val="both"/>
              <w:rPr>
                <w:rFonts w:asciiTheme="minorHAnsi" w:hAnsiTheme="minorHAnsi"/>
                <w:szCs w:val="22"/>
                <w:lang w:val="en-US"/>
              </w:rPr>
            </w:pPr>
            <w:r w:rsidRPr="00D52C48">
              <w:rPr>
                <w:rFonts w:asciiTheme="minorHAnsi" w:hAnsiTheme="minorHAnsi"/>
                <w:szCs w:val="22"/>
              </w:rPr>
              <w:t xml:space="preserve">cieplarnianych na jednostkę produkcji energii nieodnawialnej. Szacunkowa wartość spadku emisji gazów cieplarnianych wynika wyłącznie z przeprowadzonych działań w tym zakresie, nie uwzględnia szacowanego spadku spowodowanego innymi czynnikami (np. ograniczeniem produkcji, zmiany profilu produkcji). </w:t>
            </w:r>
            <w:r w:rsidRPr="00D52C48">
              <w:rPr>
                <w:rFonts w:asciiTheme="minorHAnsi" w:hAnsiTheme="minorHAnsi"/>
                <w:szCs w:val="22"/>
                <w:lang w:val="en-US"/>
              </w:rPr>
              <w:t>This indicator is calculated for interventions directly aiming to increase renewable energy production or to decrease energy consumption through energy saving measures, thus its use is mandatory only where these indicators are relevant. Uses for other interventions with possible GHG impact are optional with methodology developed by the MA. The indicator will show the total estimated of annual decrease by the end of the period, not the total decrease throughout the period. In case of renewable energy production, the estimate is based on the amount of primary energy produced by supported facilities in a given year (either one year following project completion or the calendar year after project completion). Renewable energy is supposed to be GHG neutral and replacing non-renewable energy production. GHG impact of nonrenewable energy is estimated through the MS total GHG emission per unit of non-renewable energy production. In case of energy saving measures, the estimate is based on the amount of primary energy saved through in a given year supported operations (either one year following project completion or the calendar year after project completion). Saved energy is supposed to be replacing nonrenewable energy production. GHG impact of non-renewable energy is estimated through the MS total GHG emission per unit of nonrenewable energy production</w:t>
            </w:r>
          </w:p>
        </w:tc>
        <w:tc>
          <w:tcPr>
            <w:tcW w:w="1803" w:type="dxa"/>
          </w:tcPr>
          <w:p w14:paraId="49FA0040" w14:textId="53175579" w:rsidR="00FA0CF9" w:rsidRPr="00D52C48" w:rsidRDefault="00FA0CF9" w:rsidP="003F1889">
            <w:pPr>
              <w:spacing w:line="240" w:lineRule="auto"/>
              <w:jc w:val="center"/>
              <w:rPr>
                <w:rFonts w:asciiTheme="minorHAnsi" w:eastAsiaTheme="minorHAnsi" w:hAnsiTheme="minorHAnsi"/>
                <w:szCs w:val="22"/>
                <w:lang w:eastAsia="en-US"/>
              </w:rPr>
            </w:pPr>
            <w:r w:rsidRPr="00D52C48">
              <w:rPr>
                <w:rFonts w:cs="Arial"/>
              </w:rPr>
              <w:t>RPO WD</w:t>
            </w:r>
          </w:p>
        </w:tc>
      </w:tr>
      <w:tr w:rsidR="00FA0CF9" w:rsidRPr="00D52C48" w14:paraId="7CC54726" w14:textId="77777777" w:rsidTr="007B5608">
        <w:trPr>
          <w:trHeight w:val="20"/>
          <w:jc w:val="center"/>
        </w:trPr>
        <w:tc>
          <w:tcPr>
            <w:tcW w:w="0" w:type="auto"/>
            <w:shd w:val="clear" w:color="auto" w:fill="auto"/>
          </w:tcPr>
          <w:p w14:paraId="7D7975C1" w14:textId="028AA5A4" w:rsidR="00FA0CF9" w:rsidRPr="00D52C48" w:rsidRDefault="00FA0CF9" w:rsidP="00766AC5">
            <w:pPr>
              <w:pStyle w:val="Default"/>
              <w:rPr>
                <w:rFonts w:asciiTheme="minorHAnsi" w:hAnsiTheme="minorHAnsi"/>
                <w:sz w:val="22"/>
                <w:szCs w:val="22"/>
              </w:rPr>
            </w:pPr>
            <w:r w:rsidRPr="00D52C48">
              <w:rPr>
                <w:rFonts w:asciiTheme="minorHAnsi" w:hAnsiTheme="minorHAnsi"/>
                <w:sz w:val="22"/>
                <w:szCs w:val="22"/>
              </w:rPr>
              <w:t xml:space="preserve">Roczny spadek emisji PM 10  </w:t>
            </w:r>
          </w:p>
        </w:tc>
        <w:tc>
          <w:tcPr>
            <w:tcW w:w="1611" w:type="dxa"/>
          </w:tcPr>
          <w:p w14:paraId="37A76A05" w14:textId="691F8794" w:rsidR="00FA0CF9" w:rsidRPr="00D52C48" w:rsidRDefault="00FA0CF9" w:rsidP="003F1889">
            <w:pPr>
              <w:spacing w:before="0" w:line="240" w:lineRule="auto"/>
              <w:jc w:val="center"/>
            </w:pPr>
            <w:r w:rsidRPr="00D52C48">
              <w:t>tony</w:t>
            </w:r>
          </w:p>
        </w:tc>
        <w:tc>
          <w:tcPr>
            <w:tcW w:w="3921" w:type="dxa"/>
            <w:shd w:val="clear" w:color="auto" w:fill="auto"/>
          </w:tcPr>
          <w:p w14:paraId="2C9B13DD" w14:textId="7E02C085" w:rsidR="00FA0CF9" w:rsidRPr="00D52C48" w:rsidRDefault="00A22869" w:rsidP="00A22869">
            <w:pPr>
              <w:autoSpaceDE w:val="0"/>
              <w:autoSpaceDN w:val="0"/>
              <w:adjustRightInd w:val="0"/>
              <w:spacing w:line="240" w:lineRule="auto"/>
              <w:jc w:val="both"/>
              <w:rPr>
                <w:rFonts w:asciiTheme="minorHAnsi" w:hAnsiTheme="minorHAnsi"/>
                <w:szCs w:val="22"/>
              </w:rPr>
            </w:pPr>
            <w:r w:rsidRPr="00D52C48">
              <w:rPr>
                <w:rFonts w:asciiTheme="minorHAnsi" w:hAnsiTheme="minorHAnsi"/>
                <w:szCs w:val="22"/>
              </w:rPr>
              <w:t>Roczny spadek emisji pyłów PM 10 wskutek realizacji projektu (różnica pomiędzy emisją przed realizacją projektu a emisją po realizacji projektu) wyszacowany na podstawie prognozowanego zużycia paliwa albo wyliczony na podstawie rzeczywistego zużycia rok po realizacji projektu, tak aby okres rozliczeniowy obejmował pełny sezon grzewczy. Wskaźnik obliczany dla źródła ciepła podlegającego wymianie.</w:t>
            </w:r>
          </w:p>
        </w:tc>
        <w:tc>
          <w:tcPr>
            <w:tcW w:w="1803" w:type="dxa"/>
          </w:tcPr>
          <w:p w14:paraId="5455DB27" w14:textId="1414349F" w:rsidR="00FA0CF9" w:rsidRPr="00D52C48" w:rsidRDefault="00FA0CF9" w:rsidP="003F1889">
            <w:pPr>
              <w:spacing w:line="240" w:lineRule="auto"/>
              <w:jc w:val="center"/>
              <w:rPr>
                <w:rFonts w:cs="Arial"/>
              </w:rPr>
            </w:pPr>
            <w:r w:rsidRPr="00D52C48">
              <w:rPr>
                <w:rFonts w:cs="Arial"/>
              </w:rPr>
              <w:t>SZOOP RPO WD</w:t>
            </w:r>
          </w:p>
        </w:tc>
      </w:tr>
      <w:tr w:rsidR="00FA0CF9" w:rsidRPr="00D52C48" w14:paraId="43014779" w14:textId="77777777" w:rsidTr="007B5608">
        <w:trPr>
          <w:trHeight w:val="20"/>
          <w:jc w:val="center"/>
        </w:trPr>
        <w:tc>
          <w:tcPr>
            <w:tcW w:w="0" w:type="auto"/>
            <w:shd w:val="clear" w:color="auto" w:fill="auto"/>
          </w:tcPr>
          <w:p w14:paraId="267D67CF" w14:textId="2FF0D9F2" w:rsidR="00FA0CF9" w:rsidRPr="00D52C48" w:rsidRDefault="00FA0CF9" w:rsidP="00766AC5">
            <w:pPr>
              <w:pStyle w:val="Default"/>
              <w:rPr>
                <w:rFonts w:asciiTheme="minorHAnsi" w:hAnsiTheme="minorHAnsi"/>
                <w:sz w:val="22"/>
                <w:szCs w:val="22"/>
              </w:rPr>
            </w:pPr>
            <w:r w:rsidRPr="00D52C48">
              <w:rPr>
                <w:rFonts w:asciiTheme="minorHAnsi" w:hAnsiTheme="minorHAnsi"/>
                <w:sz w:val="22"/>
                <w:szCs w:val="22"/>
              </w:rPr>
              <w:t>Roczny spadek emisji PM 2,5</w:t>
            </w:r>
          </w:p>
        </w:tc>
        <w:tc>
          <w:tcPr>
            <w:tcW w:w="1611" w:type="dxa"/>
          </w:tcPr>
          <w:p w14:paraId="34043BE1" w14:textId="7C57E7B3" w:rsidR="00FA0CF9" w:rsidRPr="00D52C48" w:rsidRDefault="00FA0CF9" w:rsidP="003F1889">
            <w:pPr>
              <w:spacing w:before="0" w:line="240" w:lineRule="auto"/>
              <w:jc w:val="center"/>
            </w:pPr>
            <w:r w:rsidRPr="00D52C48">
              <w:t>tony</w:t>
            </w:r>
          </w:p>
        </w:tc>
        <w:tc>
          <w:tcPr>
            <w:tcW w:w="3921" w:type="dxa"/>
            <w:shd w:val="clear" w:color="auto" w:fill="auto"/>
          </w:tcPr>
          <w:p w14:paraId="2179EBC0" w14:textId="35A60197" w:rsidR="00FA0CF9" w:rsidRPr="00D52C48" w:rsidRDefault="00A22869" w:rsidP="00A22869">
            <w:pPr>
              <w:autoSpaceDE w:val="0"/>
              <w:autoSpaceDN w:val="0"/>
              <w:adjustRightInd w:val="0"/>
              <w:spacing w:line="240" w:lineRule="auto"/>
              <w:jc w:val="both"/>
              <w:rPr>
                <w:rFonts w:asciiTheme="minorHAnsi" w:hAnsiTheme="minorHAnsi"/>
                <w:szCs w:val="22"/>
              </w:rPr>
            </w:pPr>
            <w:r w:rsidRPr="00D52C48">
              <w:rPr>
                <w:rFonts w:asciiTheme="minorHAnsi" w:hAnsiTheme="minorHAnsi"/>
                <w:szCs w:val="22"/>
              </w:rPr>
              <w:t>Roczny spadek emisji pyłów PM 2,5 wskutek realizacji projektu (różnica pomiędzy emisją przed realizacją projektu a emisją po realizacji projektu) wyszacowany na podstawie prognozowanego zużycia paliwa albo wyliczony na podstawie rzeczywistego zużycia rok po realizacji projektu, tak aby okres rozliczeniowy obejmował pełny sezon grzewczy. Wskaźnik obliczany dla źródła ciepła podlegającego wymianie.</w:t>
            </w:r>
          </w:p>
        </w:tc>
        <w:tc>
          <w:tcPr>
            <w:tcW w:w="1803" w:type="dxa"/>
          </w:tcPr>
          <w:p w14:paraId="5D55E363" w14:textId="05F29000" w:rsidR="00FA0CF9" w:rsidRPr="00D52C48" w:rsidRDefault="00FA0CF9" w:rsidP="003F1889">
            <w:pPr>
              <w:spacing w:line="240" w:lineRule="auto"/>
              <w:jc w:val="center"/>
              <w:rPr>
                <w:rFonts w:cs="Arial"/>
              </w:rPr>
            </w:pPr>
            <w:r w:rsidRPr="00D52C48">
              <w:rPr>
                <w:rFonts w:cs="Arial"/>
              </w:rPr>
              <w:t>SZOOP RPO WD</w:t>
            </w:r>
          </w:p>
        </w:tc>
      </w:tr>
      <w:tr w:rsidR="00FA0CF9" w:rsidRPr="00D52C48" w14:paraId="66DD4809" w14:textId="77777777" w:rsidTr="007B5608">
        <w:trPr>
          <w:trHeight w:val="20"/>
          <w:jc w:val="center"/>
        </w:trPr>
        <w:tc>
          <w:tcPr>
            <w:tcW w:w="0" w:type="auto"/>
            <w:shd w:val="clear" w:color="auto" w:fill="auto"/>
          </w:tcPr>
          <w:p w14:paraId="794A5FB9" w14:textId="22A083CE" w:rsidR="00FA0CF9" w:rsidRPr="00D52C48" w:rsidRDefault="00FA0CF9" w:rsidP="00766AC5">
            <w:pPr>
              <w:pStyle w:val="Default"/>
              <w:rPr>
                <w:rFonts w:asciiTheme="minorHAnsi" w:hAnsiTheme="minorHAnsi"/>
                <w:sz w:val="22"/>
                <w:szCs w:val="22"/>
              </w:rPr>
            </w:pPr>
            <w:r w:rsidRPr="00D52C48">
              <w:rPr>
                <w:rFonts w:asciiTheme="minorHAnsi" w:hAnsiTheme="minorHAnsi"/>
                <w:sz w:val="22"/>
                <w:szCs w:val="22"/>
              </w:rPr>
              <w:t>Ilość zaoszczędzonej energii cieplnej</w:t>
            </w:r>
          </w:p>
        </w:tc>
        <w:tc>
          <w:tcPr>
            <w:tcW w:w="1611" w:type="dxa"/>
          </w:tcPr>
          <w:p w14:paraId="35472961" w14:textId="027EE94D" w:rsidR="00FA0CF9" w:rsidRPr="00D52C48" w:rsidRDefault="00FA0CF9" w:rsidP="003F1889">
            <w:pPr>
              <w:spacing w:before="0" w:line="240" w:lineRule="auto"/>
              <w:jc w:val="center"/>
            </w:pPr>
            <w:r w:rsidRPr="00D52C48">
              <w:t>GJ/rok</w:t>
            </w:r>
          </w:p>
        </w:tc>
        <w:tc>
          <w:tcPr>
            <w:tcW w:w="3921" w:type="dxa"/>
            <w:shd w:val="clear" w:color="auto" w:fill="auto"/>
          </w:tcPr>
          <w:p w14:paraId="121DF3A3" w14:textId="77777777" w:rsidR="00FA0CF9" w:rsidRPr="00D52C48" w:rsidRDefault="007B5608" w:rsidP="007B5608">
            <w:pPr>
              <w:autoSpaceDE w:val="0"/>
              <w:autoSpaceDN w:val="0"/>
              <w:adjustRightInd w:val="0"/>
              <w:spacing w:before="0" w:line="240" w:lineRule="auto"/>
              <w:jc w:val="both"/>
              <w:rPr>
                <w:rFonts w:asciiTheme="minorHAnsi" w:hAnsiTheme="minorHAnsi"/>
                <w:szCs w:val="22"/>
              </w:rPr>
            </w:pPr>
            <w:r w:rsidRPr="00D52C48">
              <w:rPr>
                <w:rFonts w:asciiTheme="minorHAnsi" w:hAnsiTheme="minorHAnsi"/>
                <w:szCs w:val="22"/>
              </w:rPr>
              <w:t>Ilość zaoszczędzonej w wyniku realizacji projektu energii cieplnej w dystrybucji w ciągu pełnego roku po zakończeniu projektu. W przypadku przedsiębiorstw produkcyjnych: różnica między rocznym zużyciem energii cieplnej w roku bazowym w stosunku do rocznego zużycia energii cieplnej po zakończeniu projektu, skorygowana w przypadku zmiany wielkości produkcji.</w:t>
            </w:r>
          </w:p>
          <w:p w14:paraId="060B3ABE" w14:textId="06307A73" w:rsidR="007B5608" w:rsidRPr="00D52C48" w:rsidRDefault="007B5608" w:rsidP="007B5608">
            <w:pPr>
              <w:autoSpaceDE w:val="0"/>
              <w:autoSpaceDN w:val="0"/>
              <w:adjustRightInd w:val="0"/>
              <w:spacing w:before="0" w:line="240" w:lineRule="auto"/>
              <w:jc w:val="both"/>
              <w:rPr>
                <w:rFonts w:asciiTheme="minorHAnsi" w:hAnsiTheme="minorHAnsi"/>
                <w:szCs w:val="22"/>
              </w:rPr>
            </w:pPr>
            <w:r w:rsidRPr="00D52C48">
              <w:rPr>
                <w:rFonts w:asciiTheme="minorHAnsi" w:hAnsiTheme="minorHAnsi"/>
                <w:szCs w:val="22"/>
              </w:rPr>
              <w:t>W przypadku modernizacji energetycznej budynków: różnica między rocznym zużyciem energii cieplnej w roku bazowym w stosunku do rocznego zużycia energii cieplnej po zakończeniu projektu. Energia cieplna – energia w wodzie gorącej, parze lub w innych nośnikach.</w:t>
            </w:r>
          </w:p>
        </w:tc>
        <w:tc>
          <w:tcPr>
            <w:tcW w:w="1803" w:type="dxa"/>
          </w:tcPr>
          <w:p w14:paraId="77D94FF4" w14:textId="0846A8B2" w:rsidR="00FA0CF9" w:rsidRPr="00D52C48" w:rsidRDefault="00FA0CF9" w:rsidP="003F1889">
            <w:pPr>
              <w:spacing w:line="240" w:lineRule="auto"/>
              <w:jc w:val="center"/>
              <w:rPr>
                <w:rFonts w:cs="Arial"/>
              </w:rPr>
            </w:pPr>
            <w:r w:rsidRPr="00D52C48">
              <w:rPr>
                <w:rFonts w:cs="Arial"/>
              </w:rPr>
              <w:t>SZOOP RPO WD</w:t>
            </w:r>
          </w:p>
        </w:tc>
      </w:tr>
      <w:tr w:rsidR="00FA0CF9" w:rsidRPr="00D52C48" w14:paraId="2C7A518F" w14:textId="77777777" w:rsidTr="007B5608">
        <w:trPr>
          <w:trHeight w:val="20"/>
          <w:jc w:val="center"/>
        </w:trPr>
        <w:tc>
          <w:tcPr>
            <w:tcW w:w="0" w:type="auto"/>
            <w:shd w:val="clear" w:color="auto" w:fill="auto"/>
          </w:tcPr>
          <w:p w14:paraId="01E618E2" w14:textId="6EB7D555" w:rsidR="00FA0CF9" w:rsidRPr="00D52C48" w:rsidRDefault="007B5608" w:rsidP="00766AC5">
            <w:pPr>
              <w:pStyle w:val="Default"/>
              <w:rPr>
                <w:rFonts w:asciiTheme="minorHAnsi" w:hAnsiTheme="minorHAnsi"/>
                <w:sz w:val="22"/>
                <w:szCs w:val="22"/>
              </w:rPr>
            </w:pPr>
            <w:r w:rsidRPr="00D52C48">
              <w:rPr>
                <w:rFonts w:asciiTheme="minorHAnsi" w:hAnsiTheme="minorHAnsi"/>
                <w:sz w:val="22"/>
                <w:szCs w:val="22"/>
              </w:rPr>
              <w:t>Ilość zaoszczędzonej energii elektrycznej</w:t>
            </w:r>
          </w:p>
        </w:tc>
        <w:tc>
          <w:tcPr>
            <w:tcW w:w="1611" w:type="dxa"/>
          </w:tcPr>
          <w:p w14:paraId="735548C0" w14:textId="45C26711" w:rsidR="00FA0CF9" w:rsidRPr="00D52C48" w:rsidRDefault="007B5608" w:rsidP="003F1889">
            <w:pPr>
              <w:spacing w:before="0" w:line="240" w:lineRule="auto"/>
              <w:jc w:val="center"/>
            </w:pPr>
            <w:r w:rsidRPr="00D52C48">
              <w:t>MWh/rok</w:t>
            </w:r>
          </w:p>
        </w:tc>
        <w:tc>
          <w:tcPr>
            <w:tcW w:w="3921" w:type="dxa"/>
            <w:shd w:val="clear" w:color="auto" w:fill="auto"/>
          </w:tcPr>
          <w:p w14:paraId="29D4E5DD" w14:textId="74E36847" w:rsidR="00FA0CF9" w:rsidRPr="00D52C48" w:rsidRDefault="007B5608" w:rsidP="007B5608">
            <w:pPr>
              <w:autoSpaceDE w:val="0"/>
              <w:autoSpaceDN w:val="0"/>
              <w:adjustRightInd w:val="0"/>
              <w:spacing w:line="240" w:lineRule="auto"/>
              <w:jc w:val="both"/>
              <w:rPr>
                <w:rFonts w:asciiTheme="minorHAnsi" w:hAnsiTheme="minorHAnsi"/>
                <w:szCs w:val="22"/>
              </w:rPr>
            </w:pPr>
            <w:r w:rsidRPr="00D52C48">
              <w:rPr>
                <w:rFonts w:asciiTheme="minorHAnsi" w:hAnsiTheme="minorHAnsi"/>
                <w:szCs w:val="22"/>
              </w:rPr>
              <w:t>Ilość zaoszczędzonej w wyniku realizacji projektu energii elektrycznej w dystrybucji w ciągu pełnego roku po zakończeniu projektu w stosunku do roku bazowego.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tc>
        <w:tc>
          <w:tcPr>
            <w:tcW w:w="1803" w:type="dxa"/>
          </w:tcPr>
          <w:p w14:paraId="67832048" w14:textId="0E16F979" w:rsidR="00FA0CF9" w:rsidRPr="00D52C48" w:rsidRDefault="007B5608" w:rsidP="003F1889">
            <w:pPr>
              <w:spacing w:line="240" w:lineRule="auto"/>
              <w:jc w:val="center"/>
              <w:rPr>
                <w:rFonts w:cs="Arial"/>
              </w:rPr>
            </w:pPr>
            <w:r w:rsidRPr="00D52C48">
              <w:rPr>
                <w:rFonts w:cs="Arial"/>
              </w:rPr>
              <w:t>SZOOP RPO WD</w:t>
            </w:r>
          </w:p>
        </w:tc>
      </w:tr>
      <w:tr w:rsidR="00FB5F16" w:rsidRPr="00D52C48" w14:paraId="33C5CF96" w14:textId="77777777" w:rsidTr="007B5608">
        <w:trPr>
          <w:trHeight w:val="20"/>
          <w:jc w:val="center"/>
        </w:trPr>
        <w:tc>
          <w:tcPr>
            <w:tcW w:w="0" w:type="auto"/>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70383102" w14:textId="25CD2865" w:rsidR="00FB5F16" w:rsidRPr="00D52C48" w:rsidRDefault="007B5608" w:rsidP="00FB5F16">
            <w:pPr>
              <w:pStyle w:val="Default"/>
              <w:rPr>
                <w:rFonts w:asciiTheme="minorHAnsi" w:hAnsiTheme="minorHAnsi"/>
                <w:sz w:val="22"/>
                <w:szCs w:val="22"/>
              </w:rPr>
            </w:pPr>
            <w:r w:rsidRPr="00D52C48">
              <w:rPr>
                <w:rFonts w:asciiTheme="minorHAnsi" w:hAnsiTheme="minorHAnsi"/>
                <w:sz w:val="22"/>
                <w:szCs w:val="22"/>
              </w:rPr>
              <w:t>Wzrost zatrudnienia we wspieranych podmiotach (innych niż przedsiębiorstwa) O/K/M</w:t>
            </w:r>
          </w:p>
        </w:tc>
        <w:tc>
          <w:tcPr>
            <w:tcW w:w="16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D0ADF" w14:textId="429D204A" w:rsidR="00FB5F16" w:rsidRPr="00D52C48" w:rsidRDefault="00FB5F16" w:rsidP="00FB5F16">
            <w:pPr>
              <w:spacing w:before="0" w:line="240" w:lineRule="auto"/>
              <w:jc w:val="center"/>
              <w:rPr>
                <w:rFonts w:asciiTheme="minorHAnsi" w:hAnsiTheme="minorHAnsi"/>
                <w:szCs w:val="22"/>
              </w:rPr>
            </w:pPr>
            <w:r w:rsidRPr="00D52C48">
              <w:rPr>
                <w:rFonts w:asciiTheme="minorHAnsi" w:hAnsiTheme="minorHAnsi" w:cs="ArialNarrow"/>
                <w:szCs w:val="22"/>
              </w:rPr>
              <w:t>EPC</w:t>
            </w:r>
            <w:r w:rsidR="007B5608" w:rsidRPr="00D52C48">
              <w:rPr>
                <w:rFonts w:asciiTheme="minorHAnsi" w:hAnsiTheme="minorHAnsi" w:cs="ArialNarrow"/>
                <w:szCs w:val="22"/>
              </w:rPr>
              <w:t xml:space="preserve"> (ekwiwalent pełnego czasu pracy)</w:t>
            </w:r>
          </w:p>
        </w:tc>
        <w:tc>
          <w:tcPr>
            <w:tcW w:w="3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56CB48" w14:textId="77777777" w:rsidR="00323264" w:rsidRPr="00D52C48" w:rsidRDefault="00FB5F16" w:rsidP="007B5608">
            <w:pPr>
              <w:pStyle w:val="Default"/>
              <w:jc w:val="both"/>
              <w:rPr>
                <w:rFonts w:asciiTheme="minorHAnsi" w:eastAsiaTheme="minorHAnsi" w:hAnsiTheme="minorHAnsi" w:cs="Verdana"/>
                <w:sz w:val="22"/>
                <w:szCs w:val="22"/>
                <w:lang w:val="en-US" w:eastAsia="en-US"/>
              </w:rPr>
            </w:pPr>
            <w:r w:rsidRPr="00D52C48">
              <w:rPr>
                <w:rFonts w:asciiTheme="minorHAnsi" w:eastAsiaTheme="minorHAnsi" w:hAnsiTheme="minorHAnsi" w:cs="Verdana"/>
                <w:sz w:val="22"/>
                <w:szCs w:val="22"/>
                <w:lang w:val="en-US" w:eastAsia="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organisation. The indicator should be used if the employment increase can plausibly be attributed to the support. Full-time equivalent: Jobs can be full time, parttime or seasonal. Seasonal and part time jobs are to be converted to FTE using ILO/statistical/other standards. </w:t>
            </w:r>
          </w:p>
          <w:p w14:paraId="55C13A75" w14:textId="77777777" w:rsidR="00323264" w:rsidRPr="00D52C48" w:rsidRDefault="00323264" w:rsidP="007B5608">
            <w:pPr>
              <w:pStyle w:val="Default"/>
              <w:jc w:val="both"/>
              <w:rPr>
                <w:rFonts w:asciiTheme="minorHAnsi" w:eastAsiaTheme="minorHAnsi" w:hAnsiTheme="minorHAnsi" w:cs="Verdana"/>
                <w:sz w:val="22"/>
                <w:szCs w:val="22"/>
                <w:lang w:val="en-US" w:eastAsia="en-US"/>
              </w:rPr>
            </w:pPr>
          </w:p>
          <w:p w14:paraId="70EC8845" w14:textId="77777777" w:rsidR="00FB5F16" w:rsidRPr="00D52C48" w:rsidRDefault="00FB5F16" w:rsidP="007B5608">
            <w:pPr>
              <w:pStyle w:val="Default"/>
              <w:jc w:val="both"/>
              <w:rPr>
                <w:rFonts w:asciiTheme="minorHAnsi" w:hAnsiTheme="minorHAnsi"/>
                <w:b/>
                <w:iCs/>
                <w:sz w:val="22"/>
                <w:szCs w:val="22"/>
              </w:rPr>
            </w:pPr>
            <w:r w:rsidRPr="00D52C48">
              <w:rPr>
                <w:rFonts w:asciiTheme="minorHAnsi" w:hAnsiTheme="minorHAnsi"/>
                <w:b/>
                <w:iCs/>
                <w:sz w:val="22"/>
                <w:szCs w:val="22"/>
              </w:rPr>
              <w:t>Wersja robocza:</w:t>
            </w:r>
          </w:p>
          <w:p w14:paraId="3D34C33E" w14:textId="77777777" w:rsidR="00FB5F16" w:rsidRPr="00D52C48" w:rsidRDefault="00FB5F16" w:rsidP="007B5608">
            <w:pPr>
              <w:autoSpaceDE w:val="0"/>
              <w:autoSpaceDN w:val="0"/>
              <w:adjustRightInd w:val="0"/>
              <w:spacing w:before="0" w:line="240" w:lineRule="auto"/>
              <w:jc w:val="both"/>
              <w:rPr>
                <w:rFonts w:asciiTheme="minorHAnsi" w:eastAsiaTheme="minorHAnsi" w:hAnsiTheme="minorHAnsi" w:cs="Verdana"/>
                <w:szCs w:val="22"/>
                <w:lang w:eastAsia="en-US"/>
              </w:rPr>
            </w:pPr>
            <w:r w:rsidRPr="00D52C48">
              <w:rPr>
                <w:rFonts w:asciiTheme="minorHAnsi" w:eastAsiaTheme="minorHAnsi" w:hAnsiTheme="minorHAnsi" w:cs="Verdana"/>
                <w:szCs w:val="22"/>
                <w:lang w:eastAsia="en-US"/>
              </w:rPr>
              <w:t>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w:t>
            </w:r>
            <w:r w:rsidR="00902C07" w:rsidRPr="00D52C48">
              <w:rPr>
                <w:rFonts w:asciiTheme="minorHAnsi" w:eastAsiaTheme="minorHAnsi" w:hAnsiTheme="minorHAnsi" w:cs="Verdana"/>
                <w:szCs w:val="22"/>
                <w:lang w:eastAsia="en-US"/>
              </w:rPr>
              <w:t xml:space="preserve"> </w:t>
            </w:r>
            <w:r w:rsidRPr="00D52C48">
              <w:rPr>
                <w:rFonts w:asciiTheme="minorHAnsi" w:eastAsiaTheme="minorHAnsi" w:hAnsiTheme="minorHAnsi" w:cs="Verdana"/>
                <w:szCs w:val="22"/>
                <w:lang w:eastAsia="en-US"/>
              </w:rPr>
              <w:t>z wykorzystaniem standardów ILO (Międzynarodowa Organizacja Pracy)/ statystycznych/innych.</w:t>
            </w:r>
          </w:p>
          <w:p w14:paraId="2C32E4E3" w14:textId="77777777" w:rsidR="00902C07" w:rsidRPr="00D52C48" w:rsidRDefault="00902C07" w:rsidP="007B5608">
            <w:pPr>
              <w:autoSpaceDE w:val="0"/>
              <w:autoSpaceDN w:val="0"/>
              <w:adjustRightInd w:val="0"/>
              <w:spacing w:before="0" w:line="240" w:lineRule="auto"/>
              <w:jc w:val="both"/>
              <w:rPr>
                <w:rFonts w:asciiTheme="minorHAnsi" w:eastAsiaTheme="minorHAnsi" w:hAnsiTheme="minorHAnsi" w:cs="Verdana"/>
                <w:szCs w:val="22"/>
                <w:lang w:eastAsia="en-US"/>
              </w:rPr>
            </w:pPr>
          </w:p>
          <w:p w14:paraId="37839741" w14:textId="77777777" w:rsidR="00902C07" w:rsidRPr="00D52C48" w:rsidRDefault="00902C07" w:rsidP="007B5608">
            <w:pPr>
              <w:autoSpaceDE w:val="0"/>
              <w:autoSpaceDN w:val="0"/>
              <w:adjustRightInd w:val="0"/>
              <w:spacing w:before="0" w:line="240" w:lineRule="auto"/>
              <w:jc w:val="both"/>
              <w:rPr>
                <w:rFonts w:asciiTheme="minorHAnsi" w:eastAsiaTheme="minorHAnsi" w:hAnsiTheme="minorHAnsi" w:cs="Verdana"/>
                <w:i/>
                <w:szCs w:val="22"/>
                <w:lang w:eastAsia="en-US"/>
              </w:rPr>
            </w:pPr>
            <w:r w:rsidRPr="00D52C48">
              <w:rPr>
                <w:rFonts w:asciiTheme="minorHAnsi" w:eastAsiaTheme="minorHAnsi" w:hAnsiTheme="minorHAnsi" w:cs="Verdana"/>
                <w:i/>
                <w:szCs w:val="22"/>
                <w:lang w:eastAsia="en-US"/>
              </w:rPr>
              <w:t>Wskaźnik liczy etaty utworzone w przedsiębiorstwach w wyniku realizacji projektu; dotyczy zatrudnionych na podstawie umowy o pracę (nie dotyczy umów cywilnoprawnych).</w:t>
            </w:r>
          </w:p>
        </w:tc>
        <w:tc>
          <w:tcPr>
            <w:tcW w:w="1803"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4E7AB2" w14:textId="75BCD25D" w:rsidR="00FB5F16" w:rsidRPr="00D52C48" w:rsidRDefault="007B5608" w:rsidP="00FB5F16">
            <w:pPr>
              <w:spacing w:line="240" w:lineRule="auto"/>
              <w:jc w:val="center"/>
              <w:rPr>
                <w:rFonts w:asciiTheme="minorHAnsi" w:hAnsiTheme="minorHAnsi"/>
                <w:szCs w:val="22"/>
              </w:rPr>
            </w:pPr>
            <w:r w:rsidRPr="00D52C48">
              <w:rPr>
                <w:rFonts w:cs="Arial"/>
              </w:rPr>
              <w:t>horyzontalny</w:t>
            </w:r>
          </w:p>
        </w:tc>
      </w:tr>
      <w:tr w:rsidR="00FB5F16" w:rsidRPr="00D52C48" w14:paraId="70052B17" w14:textId="77777777" w:rsidTr="007B5608">
        <w:trPr>
          <w:cantSplit/>
          <w:trHeight w:val="20"/>
          <w:jc w:val="center"/>
        </w:trPr>
        <w:tc>
          <w:tcPr>
            <w:tcW w:w="0" w:type="auto"/>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0A6DAA77" w14:textId="77777777" w:rsidR="00FB5F16" w:rsidRPr="00D52C48" w:rsidRDefault="00FB5F16" w:rsidP="00FB5F16">
            <w:pPr>
              <w:pStyle w:val="Default"/>
              <w:rPr>
                <w:rFonts w:asciiTheme="minorHAnsi" w:hAnsiTheme="minorHAnsi"/>
                <w:sz w:val="22"/>
                <w:szCs w:val="22"/>
              </w:rPr>
            </w:pPr>
            <w:r w:rsidRPr="00D52C48">
              <w:rPr>
                <w:rFonts w:asciiTheme="minorHAnsi" w:hAnsiTheme="minorHAnsi"/>
                <w:sz w:val="22"/>
                <w:szCs w:val="22"/>
              </w:rPr>
              <w:t>Liczb utrzymanych miejsc pracy</w:t>
            </w:r>
          </w:p>
        </w:tc>
        <w:tc>
          <w:tcPr>
            <w:tcW w:w="16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08BE2" w14:textId="77777777" w:rsidR="00FB5F16" w:rsidRPr="00D52C48" w:rsidRDefault="00FB5F16" w:rsidP="00FB5F16">
            <w:pPr>
              <w:spacing w:before="0" w:line="240" w:lineRule="auto"/>
              <w:jc w:val="center"/>
              <w:rPr>
                <w:rFonts w:asciiTheme="minorHAnsi" w:hAnsiTheme="minorHAnsi" w:cs="ArialNarrow"/>
                <w:szCs w:val="22"/>
              </w:rPr>
            </w:pPr>
            <w:r w:rsidRPr="00D52C48">
              <w:rPr>
                <w:rFonts w:asciiTheme="minorHAnsi" w:hAnsiTheme="minorHAnsi" w:cs="ArialNarrow"/>
                <w:szCs w:val="22"/>
              </w:rPr>
              <w:t>EPC</w:t>
            </w:r>
          </w:p>
          <w:p w14:paraId="2C315D24" w14:textId="1E6302CB" w:rsidR="007B5608" w:rsidRPr="00D52C48" w:rsidRDefault="007B5608" w:rsidP="00FB5F16">
            <w:pPr>
              <w:spacing w:before="0" w:line="240" w:lineRule="auto"/>
              <w:jc w:val="center"/>
              <w:rPr>
                <w:rFonts w:asciiTheme="minorHAnsi" w:hAnsiTheme="minorHAnsi"/>
                <w:szCs w:val="22"/>
              </w:rPr>
            </w:pPr>
            <w:r w:rsidRPr="00D52C48">
              <w:rPr>
                <w:rFonts w:asciiTheme="minorHAnsi" w:hAnsiTheme="minorHAnsi" w:cs="ArialNarrow"/>
                <w:szCs w:val="22"/>
              </w:rPr>
              <w:t>(ekwiwalent pełnego czasu pracy)</w:t>
            </w:r>
          </w:p>
        </w:tc>
        <w:tc>
          <w:tcPr>
            <w:tcW w:w="3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CEF39C" w14:textId="42C895CC" w:rsidR="00FB5F16" w:rsidRPr="00D52C48" w:rsidRDefault="00FB5F16" w:rsidP="00FB5F16">
            <w:pPr>
              <w:autoSpaceDE w:val="0"/>
              <w:autoSpaceDN w:val="0"/>
              <w:adjustRightInd w:val="0"/>
              <w:spacing w:before="0" w:line="240" w:lineRule="auto"/>
              <w:rPr>
                <w:rFonts w:asciiTheme="minorHAnsi" w:eastAsiaTheme="minorHAnsi" w:hAnsiTheme="minorHAnsi" w:cs="Verdana"/>
                <w:szCs w:val="22"/>
                <w:lang w:eastAsia="en-US"/>
              </w:rPr>
            </w:pPr>
            <w:r w:rsidRPr="00D52C48">
              <w:rPr>
                <w:rFonts w:asciiTheme="minorHAnsi" w:eastAsiaTheme="minorHAnsi" w:hAnsiTheme="minorHAnsi" w:cstheme="minorBidi"/>
                <w:szCs w:val="22"/>
                <w:lang w:eastAsia="en-US"/>
              </w:rPr>
              <w:t>Miejsca pracy utworzone w wyniku realizacji projektu, lecz nie powodują wzrostu zatrudnienia w organizacji</w:t>
            </w:r>
            <w:r w:rsidR="00C746A8">
              <w:rPr>
                <w:rFonts w:asciiTheme="minorHAnsi" w:eastAsiaTheme="minorHAnsi" w:hAnsiTheme="minorHAnsi" w:cstheme="minorBidi"/>
                <w:szCs w:val="22"/>
                <w:lang w:eastAsia="en-US"/>
              </w:rPr>
              <w:t xml:space="preserve">. </w:t>
            </w:r>
            <w:r w:rsidR="00C746A8">
              <w:rPr>
                <w:rFonts w:asciiTheme="minorHAnsi" w:eastAsiaTheme="minorHAnsi" w:hAnsiTheme="minorHAnsi" w:cs="Verdana"/>
                <w:szCs w:val="22"/>
                <w:lang w:eastAsia="en-US"/>
              </w:rPr>
              <w:t>Brak podziału na O/K/M.</w:t>
            </w:r>
          </w:p>
        </w:tc>
        <w:tc>
          <w:tcPr>
            <w:tcW w:w="1803"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A649718" w14:textId="77777777" w:rsidR="00FB5F16" w:rsidRPr="00D52C48" w:rsidRDefault="00FB5F16" w:rsidP="00FB5F16">
            <w:pPr>
              <w:spacing w:line="240" w:lineRule="auto"/>
              <w:jc w:val="center"/>
              <w:rPr>
                <w:rFonts w:asciiTheme="minorHAnsi" w:hAnsiTheme="minorHAnsi"/>
                <w:szCs w:val="22"/>
              </w:rPr>
            </w:pPr>
            <w:r w:rsidRPr="00D52C48">
              <w:rPr>
                <w:rFonts w:asciiTheme="minorHAnsi" w:hAnsiTheme="minorHAnsi"/>
                <w:szCs w:val="22"/>
              </w:rPr>
              <w:t>Horyzontalny</w:t>
            </w:r>
          </w:p>
        </w:tc>
      </w:tr>
      <w:tr w:rsidR="00FB5F16" w:rsidRPr="00D52C48" w14:paraId="6C442DD5" w14:textId="77777777" w:rsidTr="007B5608">
        <w:trPr>
          <w:cantSplit/>
          <w:trHeight w:val="20"/>
          <w:jc w:val="center"/>
        </w:trPr>
        <w:tc>
          <w:tcPr>
            <w:tcW w:w="0" w:type="auto"/>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14:paraId="1152F41D" w14:textId="77777777" w:rsidR="00FB5F16" w:rsidRPr="00D52C48" w:rsidRDefault="00FB5F16" w:rsidP="00FB5F16">
            <w:pPr>
              <w:pStyle w:val="Default"/>
              <w:rPr>
                <w:rFonts w:asciiTheme="minorHAnsi" w:hAnsiTheme="minorHAnsi"/>
                <w:sz w:val="22"/>
                <w:szCs w:val="22"/>
              </w:rPr>
            </w:pPr>
            <w:r w:rsidRPr="00D52C48">
              <w:rPr>
                <w:rFonts w:asciiTheme="minorHAnsi" w:hAnsiTheme="minorHAnsi"/>
                <w:sz w:val="22"/>
                <w:szCs w:val="22"/>
              </w:rPr>
              <w:t>Liczba nowo utworzonych miejsc pracy – pozostałe formy</w:t>
            </w:r>
          </w:p>
        </w:tc>
        <w:tc>
          <w:tcPr>
            <w:tcW w:w="1611"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576EE73C" w14:textId="77777777" w:rsidR="00FB5F16" w:rsidRPr="00D52C48" w:rsidRDefault="00FB5F16" w:rsidP="00FB5F16">
            <w:pPr>
              <w:spacing w:before="0" w:line="240" w:lineRule="auto"/>
              <w:jc w:val="center"/>
              <w:rPr>
                <w:rFonts w:asciiTheme="minorHAnsi" w:hAnsiTheme="minorHAnsi" w:cs="ArialNarrow"/>
                <w:szCs w:val="22"/>
              </w:rPr>
            </w:pPr>
            <w:r w:rsidRPr="00D52C48">
              <w:rPr>
                <w:rFonts w:asciiTheme="minorHAnsi" w:hAnsiTheme="minorHAnsi" w:cs="ArialNarrow"/>
                <w:szCs w:val="22"/>
              </w:rPr>
              <w:t>EPC</w:t>
            </w:r>
          </w:p>
          <w:p w14:paraId="366BBF99" w14:textId="54A9D032" w:rsidR="007B5608" w:rsidRPr="00D52C48" w:rsidRDefault="007B5608" w:rsidP="00FB5F16">
            <w:pPr>
              <w:spacing w:before="0" w:line="240" w:lineRule="auto"/>
              <w:jc w:val="center"/>
              <w:rPr>
                <w:rFonts w:asciiTheme="minorHAnsi" w:hAnsiTheme="minorHAnsi"/>
                <w:szCs w:val="22"/>
              </w:rPr>
            </w:pPr>
            <w:r w:rsidRPr="00D52C48">
              <w:rPr>
                <w:rFonts w:asciiTheme="minorHAnsi" w:hAnsiTheme="minorHAnsi" w:cs="ArialNarrow"/>
                <w:szCs w:val="22"/>
              </w:rPr>
              <w:t>(ekwiwalent pełnego czasu pracy)</w:t>
            </w:r>
          </w:p>
        </w:tc>
        <w:tc>
          <w:tcPr>
            <w:tcW w:w="3921"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14:paraId="5EA219DC" w14:textId="0BDE6FC2" w:rsidR="00FB5F16" w:rsidRPr="00D52C48" w:rsidRDefault="00FB5F16" w:rsidP="00FB5F16">
            <w:pPr>
              <w:autoSpaceDE w:val="0"/>
              <w:autoSpaceDN w:val="0"/>
              <w:adjustRightInd w:val="0"/>
              <w:spacing w:before="0" w:line="240" w:lineRule="auto"/>
              <w:rPr>
                <w:rFonts w:asciiTheme="minorHAnsi" w:eastAsiaTheme="minorHAnsi" w:hAnsiTheme="minorHAnsi" w:cs="Verdana"/>
                <w:szCs w:val="22"/>
                <w:lang w:eastAsia="en-US"/>
              </w:rPr>
            </w:pPr>
            <w:r w:rsidRPr="00D52C48">
              <w:rPr>
                <w:rFonts w:asciiTheme="minorHAnsi" w:eastAsiaTheme="minorHAnsi" w:hAnsiTheme="minorHAnsi" w:cstheme="minorBidi"/>
                <w:iCs/>
                <w:szCs w:val="22"/>
                <w:lang w:eastAsia="en-US"/>
              </w:rPr>
              <w:t>Pozostałe formy</w:t>
            </w:r>
            <w:r w:rsidRPr="00D52C48">
              <w:rPr>
                <w:rFonts w:asciiTheme="minorHAnsi" w:eastAsiaTheme="minorHAnsi" w:hAnsiTheme="minorHAnsi" w:cs="Verdana"/>
                <w:szCs w:val="22"/>
                <w:lang w:eastAsia="en-US"/>
              </w:rPr>
              <w:t>, np. umowy cywilnoprawne, miejsca pracy do obsługi projektu, nietrwałe miejsca pracy</w:t>
            </w:r>
            <w:r w:rsidR="00C746A8">
              <w:rPr>
                <w:rFonts w:asciiTheme="minorHAnsi" w:eastAsiaTheme="minorHAnsi" w:hAnsiTheme="minorHAnsi" w:cs="Verdana"/>
                <w:szCs w:val="22"/>
                <w:lang w:eastAsia="en-US"/>
              </w:rPr>
              <w:t>. Brak podziału na O/K/M.</w:t>
            </w:r>
          </w:p>
        </w:tc>
        <w:tc>
          <w:tcPr>
            <w:tcW w:w="1803"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0BC6FF7E" w14:textId="77777777" w:rsidR="00FB5F16" w:rsidRPr="00D52C48" w:rsidRDefault="00FB5F16" w:rsidP="00FB5F16">
            <w:pPr>
              <w:spacing w:line="240" w:lineRule="auto"/>
              <w:jc w:val="center"/>
              <w:rPr>
                <w:rFonts w:asciiTheme="minorHAnsi" w:hAnsiTheme="minorHAnsi"/>
                <w:szCs w:val="22"/>
              </w:rPr>
            </w:pPr>
            <w:r w:rsidRPr="00D52C48">
              <w:rPr>
                <w:rFonts w:asciiTheme="minorHAnsi" w:hAnsiTheme="minorHAnsi"/>
                <w:szCs w:val="22"/>
              </w:rPr>
              <w:t>Horyzontalny</w:t>
            </w:r>
          </w:p>
        </w:tc>
      </w:tr>
    </w:tbl>
    <w:p w14:paraId="0E9F32E7" w14:textId="77777777" w:rsidR="00B87C4A" w:rsidRPr="00D52C48" w:rsidRDefault="00B87C4A" w:rsidP="00DF6D97">
      <w:pPr>
        <w:autoSpaceDE w:val="0"/>
        <w:autoSpaceDN w:val="0"/>
        <w:adjustRightInd w:val="0"/>
        <w:spacing w:before="120" w:after="120" w:line="240" w:lineRule="auto"/>
        <w:jc w:val="both"/>
        <w:rPr>
          <w:rFonts w:asciiTheme="minorHAnsi" w:eastAsiaTheme="minorHAnsi" w:hAnsiTheme="minorHAnsi" w:cs="Arial"/>
          <w:szCs w:val="22"/>
          <w:lang w:eastAsia="en-US"/>
        </w:rPr>
      </w:pPr>
    </w:p>
    <w:p w14:paraId="0C707866" w14:textId="77777777" w:rsidR="00DF6D97" w:rsidRPr="00D52C48" w:rsidRDefault="00DF6D97" w:rsidP="00DF6D97">
      <w:pPr>
        <w:autoSpaceDE w:val="0"/>
        <w:autoSpaceDN w:val="0"/>
        <w:adjustRightInd w:val="0"/>
        <w:spacing w:before="120" w:after="120" w:line="240" w:lineRule="auto"/>
        <w:jc w:val="both"/>
        <w:rPr>
          <w:rFonts w:asciiTheme="minorHAnsi" w:eastAsiaTheme="minorHAnsi" w:hAnsiTheme="minorHAnsi" w:cs="Arial"/>
          <w:szCs w:val="22"/>
          <w:lang w:eastAsia="en-US"/>
        </w:rPr>
      </w:pPr>
      <w:r w:rsidRPr="00D52C48">
        <w:rPr>
          <w:rFonts w:asciiTheme="minorHAnsi" w:eastAsiaTheme="minorHAnsi" w:hAnsiTheme="minorHAnsi" w:cs="Arial"/>
          <w:szCs w:val="22"/>
          <w:lang w:eastAsia="en-US"/>
        </w:rPr>
        <w:t xml:space="preserve">W ramach wniosku o dofinansowanie Wnioskodawca ma obowiązek uwzględnić </w:t>
      </w:r>
      <w:r w:rsidRPr="00D52C48">
        <w:rPr>
          <w:rFonts w:asciiTheme="minorHAnsi" w:eastAsiaTheme="minorHAnsi" w:hAnsiTheme="minorHAnsi" w:cs="Arial"/>
          <w:b/>
          <w:szCs w:val="22"/>
          <w:lang w:eastAsia="en-US"/>
        </w:rPr>
        <w:t>wszystkie adekwatne</w:t>
      </w:r>
      <w:r w:rsidRPr="00D52C48">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D52C48">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14:paraId="51C7A889" w14:textId="77777777" w:rsidR="00DF6D97" w:rsidRPr="00D52C48" w:rsidRDefault="00DF6D97" w:rsidP="00DF6D97">
      <w:pPr>
        <w:pStyle w:val="Default"/>
        <w:jc w:val="both"/>
        <w:rPr>
          <w:rFonts w:asciiTheme="minorHAnsi" w:eastAsiaTheme="minorHAnsi" w:hAnsiTheme="minorHAnsi" w:cstheme="minorBidi"/>
          <w:sz w:val="22"/>
          <w:szCs w:val="22"/>
          <w:lang w:eastAsia="en-US"/>
        </w:rPr>
      </w:pPr>
      <w:r w:rsidRPr="00D52C48">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0532D926" w14:textId="77777777" w:rsidR="00D9674E" w:rsidRDefault="00D9674E" w:rsidP="00D9674E">
      <w:pPr>
        <w:pStyle w:val="Default"/>
        <w:jc w:val="both"/>
        <w:rPr>
          <w:rFonts w:asciiTheme="minorHAnsi" w:eastAsiaTheme="minorHAnsi" w:hAnsiTheme="minorHAnsi" w:cstheme="minorBidi"/>
          <w:sz w:val="22"/>
          <w:szCs w:val="22"/>
          <w:lang w:eastAsia="en-US"/>
        </w:rPr>
      </w:pPr>
    </w:p>
    <w:p w14:paraId="146DFC99" w14:textId="77777777" w:rsidR="00D9674E" w:rsidRPr="007E4018" w:rsidRDefault="00D9674E" w:rsidP="00D9674E">
      <w:pPr>
        <w:spacing w:line="240" w:lineRule="auto"/>
        <w:jc w:val="both"/>
        <w:rPr>
          <w:rFonts w:asciiTheme="minorHAnsi" w:hAnsiTheme="minorHAnsi" w:cs="Arial"/>
          <w:b/>
          <w:szCs w:val="22"/>
          <w:u w:val="single"/>
        </w:rPr>
      </w:pPr>
      <w:bookmarkStart w:id="3" w:name="_GoBack"/>
      <w:bookmarkEnd w:id="3"/>
      <w:r w:rsidRPr="007E4018">
        <w:rPr>
          <w:rFonts w:asciiTheme="minorHAnsi" w:hAnsiTheme="minorHAnsi" w:cs="Arial"/>
          <w:b/>
          <w:szCs w:val="22"/>
          <w:u w:val="single"/>
        </w:rPr>
        <w:t>Wartość bazowa (tzn. wartość w momencie rozpoczęcia realizacji projektu) w przypadku każdego wskaźnika powinna być wykazana na poziomie „0”.</w:t>
      </w:r>
    </w:p>
    <w:p w14:paraId="5A80311A" w14:textId="77777777" w:rsidR="00D9674E" w:rsidRPr="007E4018" w:rsidRDefault="00D9674E" w:rsidP="00D9674E">
      <w:pPr>
        <w:spacing w:line="240" w:lineRule="auto"/>
        <w:jc w:val="both"/>
        <w:rPr>
          <w:rFonts w:asciiTheme="minorHAnsi" w:hAnsiTheme="minorHAnsi" w:cs="Arial"/>
          <w:b/>
          <w:szCs w:val="22"/>
          <w:u w:val="single"/>
        </w:rPr>
      </w:pPr>
      <w:r>
        <w:rPr>
          <w:rFonts w:asciiTheme="minorHAnsi" w:hAnsiTheme="minorHAnsi" w:cs="Arial"/>
          <w:b/>
          <w:szCs w:val="22"/>
          <w:u w:val="single"/>
        </w:rPr>
        <w:t>E</w:t>
      </w:r>
      <w:r w:rsidRPr="007E4018">
        <w:rPr>
          <w:rFonts w:asciiTheme="minorHAnsi" w:hAnsiTheme="minorHAnsi" w:cs="Arial"/>
          <w:b/>
          <w:szCs w:val="22"/>
          <w:u w:val="single"/>
        </w:rPr>
        <w:t xml:space="preserve">fekt wsparcia na poziomie projektu występuje: </w:t>
      </w:r>
    </w:p>
    <w:p w14:paraId="02E8A324" w14:textId="77777777" w:rsidR="00D9674E" w:rsidRPr="007E4018" w:rsidRDefault="00D9674E" w:rsidP="00D9674E">
      <w:pPr>
        <w:spacing w:line="240" w:lineRule="auto"/>
        <w:jc w:val="both"/>
        <w:rPr>
          <w:rFonts w:asciiTheme="minorHAnsi" w:hAnsiTheme="minorHAnsi" w:cs="Arial"/>
          <w:b/>
          <w:szCs w:val="22"/>
          <w:u w:val="single"/>
        </w:rPr>
      </w:pPr>
      <w:r w:rsidRPr="007E4018">
        <w:rPr>
          <w:rFonts w:asciiTheme="minorHAnsi" w:hAnsiTheme="minorHAnsi" w:cs="Arial"/>
          <w:b/>
          <w:szCs w:val="22"/>
          <w:u w:val="single"/>
        </w:rPr>
        <w:t>a) w przypadku wskaźników produktu – w okresie od podpisania umowy o dofinansowanie, przy czym osiągnięte wartości powinny zostać wykazane najpóźniej we wniosku o płatność końcową</w:t>
      </w:r>
      <w:r>
        <w:rPr>
          <w:rFonts w:asciiTheme="minorHAnsi" w:hAnsiTheme="minorHAnsi" w:cs="Arial"/>
          <w:b/>
          <w:szCs w:val="22"/>
          <w:u w:val="single"/>
        </w:rPr>
        <w:t xml:space="preserve"> oraz utrzymanie w okresie trwałości projektu</w:t>
      </w:r>
      <w:r w:rsidRPr="007E4018">
        <w:rPr>
          <w:rFonts w:asciiTheme="minorHAnsi" w:hAnsiTheme="minorHAnsi" w:cs="Arial"/>
          <w:b/>
          <w:szCs w:val="22"/>
          <w:u w:val="single"/>
        </w:rPr>
        <w:t xml:space="preserve">, </w:t>
      </w:r>
    </w:p>
    <w:p w14:paraId="31C756C0" w14:textId="77777777" w:rsidR="00D9674E" w:rsidRPr="007E4018" w:rsidRDefault="00D9674E" w:rsidP="00D9674E">
      <w:pPr>
        <w:spacing w:line="240" w:lineRule="auto"/>
        <w:jc w:val="both"/>
        <w:rPr>
          <w:rFonts w:asciiTheme="minorHAnsi" w:hAnsiTheme="minorHAnsi" w:cs="Arial"/>
          <w:b/>
          <w:szCs w:val="22"/>
          <w:u w:val="single"/>
        </w:rPr>
      </w:pPr>
      <w:r w:rsidRPr="007E4018">
        <w:rPr>
          <w:rFonts w:asciiTheme="minorHAnsi" w:hAnsiTheme="minorHAnsi" w:cs="Arial"/>
          <w:b/>
          <w:szCs w:val="22"/>
          <w:u w:val="single"/>
        </w:rPr>
        <w:t xml:space="preserve">b) w przypadku wskaźników rezultatu określonych na poziomie projektu: </w:t>
      </w:r>
    </w:p>
    <w:p w14:paraId="4757BFD8" w14:textId="77777777" w:rsidR="00D9674E" w:rsidRDefault="00D9674E" w:rsidP="00D9674E">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7E4018">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t>
      </w:r>
      <w:r>
        <w:rPr>
          <w:rFonts w:asciiTheme="minorHAnsi" w:hAnsiTheme="minorHAnsi" w:cs="Arial"/>
          <w:b/>
          <w:szCs w:val="22"/>
          <w:u w:val="single"/>
        </w:rPr>
        <w:t xml:space="preserve">we wniosku o płatność końcową lub jego korekcie. Wskaźniki rezultatu powinny być utrzymane w okresie trwałości projektu. </w:t>
      </w:r>
    </w:p>
    <w:p w14:paraId="0C67A5E0" w14:textId="77777777" w:rsidR="00D9674E" w:rsidRDefault="00D9674E" w:rsidP="00D9674E">
      <w:pPr>
        <w:pStyle w:val="Akapitzlist"/>
        <w:spacing w:before="0" w:after="200" w:line="240" w:lineRule="auto"/>
        <w:ind w:left="1080"/>
        <w:contextualSpacing/>
        <w:jc w:val="both"/>
        <w:rPr>
          <w:rFonts w:asciiTheme="minorHAnsi" w:hAnsiTheme="minorHAnsi" w:cs="Arial"/>
          <w:b/>
          <w:szCs w:val="22"/>
          <w:u w:val="single"/>
        </w:rPr>
      </w:pPr>
      <w:r>
        <w:rPr>
          <w:rFonts w:asciiTheme="minorHAnsi" w:hAnsiTheme="minorHAnsi" w:cs="Arial"/>
          <w:b/>
          <w:szCs w:val="22"/>
          <w:u w:val="single"/>
        </w:rPr>
        <w:t>lub</w:t>
      </w:r>
    </w:p>
    <w:p w14:paraId="7F534522" w14:textId="77777777" w:rsidR="00D9674E" w:rsidRDefault="00D9674E" w:rsidP="00D9674E">
      <w:pPr>
        <w:pStyle w:val="Akapitzlist"/>
        <w:numPr>
          <w:ilvl w:val="0"/>
          <w:numId w:val="6"/>
        </w:numPr>
        <w:spacing w:before="0" w:after="200" w:line="240" w:lineRule="auto"/>
        <w:ind w:left="1080"/>
        <w:contextualSpacing/>
        <w:jc w:val="both"/>
        <w:rPr>
          <w:rFonts w:asciiTheme="minorHAnsi" w:hAnsiTheme="minorHAnsi" w:cs="Arial"/>
          <w:b/>
          <w:szCs w:val="22"/>
          <w:u w:val="single"/>
        </w:rPr>
      </w:pPr>
      <w:r>
        <w:rPr>
          <w:rFonts w:asciiTheme="minorHAnsi" w:hAnsiTheme="minorHAnsi" w:cs="Arial"/>
          <w:b/>
          <w:szCs w:val="22"/>
          <w:u w:val="single"/>
        </w:rPr>
        <w:t xml:space="preserve">W okresie trwałości projektu, na zasadach określonych przez IŻ (w umowie o dofinansowanie projektu) – w przypadku wskaźników, których termin realizacji został wydłużony na wniosek beneficjenta i za zgodą IŻ, jednak nie później niż do dnia 31.12.2023 r. </w:t>
      </w:r>
    </w:p>
    <w:p w14:paraId="3A4B72C4" w14:textId="77777777" w:rsidR="0032765F" w:rsidRPr="00911273" w:rsidRDefault="0032765F" w:rsidP="007650AC">
      <w:pPr>
        <w:spacing w:line="240" w:lineRule="auto"/>
        <w:rPr>
          <w:szCs w:val="22"/>
        </w:rPr>
      </w:pPr>
    </w:p>
    <w:sectPr w:rsidR="0032765F" w:rsidRPr="00911273" w:rsidSect="00D721EE">
      <w:headerReference w:type="default" r:id="rId8"/>
      <w:footerReference w:type="default" r:id="rId9"/>
      <w:pgSz w:w="11906" w:h="16838"/>
      <w:pgMar w:top="1417" w:right="1417" w:bottom="1417"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C2DC3" w14:textId="77777777" w:rsidR="008E26DA" w:rsidRDefault="008E26DA" w:rsidP="008C495E">
      <w:pPr>
        <w:spacing w:before="0" w:line="240" w:lineRule="auto"/>
      </w:pPr>
      <w:r>
        <w:separator/>
      </w:r>
    </w:p>
  </w:endnote>
  <w:endnote w:type="continuationSeparator" w:id="0">
    <w:p w14:paraId="5BAF7D9A" w14:textId="77777777" w:rsidR="008E26DA" w:rsidRDefault="008E26DA"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871597478"/>
      <w:docPartObj>
        <w:docPartGallery w:val="Page Numbers (Bottom of Page)"/>
        <w:docPartUnique/>
      </w:docPartObj>
    </w:sdtPr>
    <w:sdtEndPr/>
    <w:sdtContent>
      <w:sdt>
        <w:sdtPr>
          <w:rPr>
            <w:rFonts w:asciiTheme="minorHAnsi" w:hAnsiTheme="minorHAnsi"/>
            <w:sz w:val="20"/>
          </w:rPr>
          <w:id w:val="-1669238322"/>
          <w:docPartObj>
            <w:docPartGallery w:val="Page Numbers (Top of Page)"/>
            <w:docPartUnique/>
          </w:docPartObj>
        </w:sdtPr>
        <w:sdtEndPr/>
        <w:sdtContent>
          <w:p w14:paraId="13A83B35" w14:textId="77777777"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FE7037" w:rsidRPr="00D721EE">
              <w:rPr>
                <w:rFonts w:asciiTheme="minorHAnsi" w:hAnsiTheme="minorHAnsi"/>
                <w:b/>
                <w:bCs/>
                <w:sz w:val="20"/>
              </w:rPr>
              <w:fldChar w:fldCharType="begin"/>
            </w:r>
            <w:r w:rsidRPr="00D721EE">
              <w:rPr>
                <w:rFonts w:asciiTheme="minorHAnsi" w:hAnsiTheme="minorHAnsi"/>
                <w:b/>
                <w:bCs/>
                <w:sz w:val="20"/>
              </w:rPr>
              <w:instrText>PAGE</w:instrText>
            </w:r>
            <w:r w:rsidR="00FE7037" w:rsidRPr="00D721EE">
              <w:rPr>
                <w:rFonts w:asciiTheme="minorHAnsi" w:hAnsiTheme="minorHAnsi"/>
                <w:b/>
                <w:bCs/>
                <w:sz w:val="20"/>
              </w:rPr>
              <w:fldChar w:fldCharType="separate"/>
            </w:r>
            <w:r w:rsidR="00D9674E">
              <w:rPr>
                <w:rFonts w:asciiTheme="minorHAnsi" w:hAnsiTheme="minorHAnsi"/>
                <w:b/>
                <w:bCs/>
                <w:noProof/>
                <w:sz w:val="20"/>
              </w:rPr>
              <w:t>1</w:t>
            </w:r>
            <w:r w:rsidR="00FE7037" w:rsidRPr="00D721EE">
              <w:rPr>
                <w:rFonts w:asciiTheme="minorHAnsi" w:hAnsiTheme="minorHAnsi"/>
                <w:b/>
                <w:bCs/>
                <w:sz w:val="20"/>
              </w:rPr>
              <w:fldChar w:fldCharType="end"/>
            </w:r>
            <w:r w:rsidRPr="00D721EE">
              <w:rPr>
                <w:rFonts w:asciiTheme="minorHAnsi" w:hAnsiTheme="minorHAnsi"/>
                <w:sz w:val="20"/>
              </w:rPr>
              <w:t xml:space="preserve"> z </w:t>
            </w:r>
            <w:r w:rsidR="00FE7037" w:rsidRPr="00D721EE">
              <w:rPr>
                <w:rFonts w:asciiTheme="minorHAnsi" w:hAnsiTheme="minorHAnsi"/>
                <w:b/>
                <w:bCs/>
                <w:sz w:val="20"/>
              </w:rPr>
              <w:fldChar w:fldCharType="begin"/>
            </w:r>
            <w:r w:rsidRPr="00D721EE">
              <w:rPr>
                <w:rFonts w:asciiTheme="minorHAnsi" w:hAnsiTheme="minorHAnsi"/>
                <w:b/>
                <w:bCs/>
                <w:sz w:val="20"/>
              </w:rPr>
              <w:instrText>NUMPAGES</w:instrText>
            </w:r>
            <w:r w:rsidR="00FE7037" w:rsidRPr="00D721EE">
              <w:rPr>
                <w:rFonts w:asciiTheme="minorHAnsi" w:hAnsiTheme="minorHAnsi"/>
                <w:b/>
                <w:bCs/>
                <w:sz w:val="20"/>
              </w:rPr>
              <w:fldChar w:fldCharType="separate"/>
            </w:r>
            <w:r w:rsidR="00D9674E">
              <w:rPr>
                <w:rFonts w:asciiTheme="minorHAnsi" w:hAnsiTheme="minorHAnsi"/>
                <w:b/>
                <w:bCs/>
                <w:noProof/>
                <w:sz w:val="20"/>
              </w:rPr>
              <w:t>9</w:t>
            </w:r>
            <w:r w:rsidR="00FE7037" w:rsidRPr="00D721EE">
              <w:rPr>
                <w:rFonts w:asciiTheme="minorHAnsi" w:hAnsiTheme="minorHAnsi"/>
                <w:b/>
                <w:bCs/>
                <w:sz w:val="20"/>
              </w:rPr>
              <w:fldChar w:fldCharType="end"/>
            </w:r>
          </w:p>
        </w:sdtContent>
      </w:sdt>
    </w:sdtContent>
  </w:sdt>
  <w:p w14:paraId="37F4232A" w14:textId="77777777"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96E5" w14:textId="77777777" w:rsidR="008E26DA" w:rsidRDefault="008E26DA" w:rsidP="008C495E">
      <w:pPr>
        <w:spacing w:before="0" w:line="240" w:lineRule="auto"/>
      </w:pPr>
      <w:r>
        <w:separator/>
      </w:r>
    </w:p>
  </w:footnote>
  <w:footnote w:type="continuationSeparator" w:id="0">
    <w:p w14:paraId="54952C4F" w14:textId="77777777" w:rsidR="008E26DA" w:rsidRDefault="008E26DA"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1E32" w14:textId="77777777" w:rsidR="00C0278F" w:rsidRPr="00C0278F" w:rsidRDefault="00C0278F" w:rsidP="00FA0CF9">
    <w:pPr>
      <w:pStyle w:val="Nagwek"/>
      <w:jc w:val="right"/>
      <w:rPr>
        <w:rFonts w:asciiTheme="minorHAnsi" w:hAnsiTheme="minorHAnsi"/>
        <w:sz w:val="20"/>
      </w:rPr>
    </w:pPr>
    <w:r>
      <w:tab/>
    </w:r>
    <w:r w:rsidRPr="00C0278F">
      <w:rPr>
        <w:rFonts w:asciiTheme="minorHAnsi" w:hAnsiTheme="minorHAnsi"/>
        <w:sz w:val="20"/>
      </w:rPr>
      <w:t xml:space="preserve">Załącznik  nr </w:t>
    </w:r>
    <w:r w:rsidR="00246A66">
      <w:rPr>
        <w:rFonts w:asciiTheme="minorHAnsi" w:hAnsiTheme="minorHAnsi"/>
        <w:sz w:val="20"/>
      </w:rPr>
      <w:t>1</w:t>
    </w:r>
    <w:r w:rsidR="007704B3">
      <w:rPr>
        <w:rFonts w:asciiTheme="minorHAnsi" w:hAnsiTheme="minorHAnsi"/>
        <w:sz w:val="20"/>
      </w:rPr>
      <w:t xml:space="preserve"> do </w:t>
    </w:r>
    <w:r w:rsidR="00246A66">
      <w:rPr>
        <w:rFonts w:asciiTheme="minorHAnsi" w:hAnsiTheme="minorHAnsi"/>
        <w:sz w:val="20"/>
      </w:rPr>
      <w:t>Instrukcji wypełniania wniosku o dofinansowanie</w:t>
    </w:r>
  </w:p>
  <w:p w14:paraId="4381B67E" w14:textId="77777777" w:rsidR="00D9674E" w:rsidRPr="00D9674E" w:rsidRDefault="00D442FF" w:rsidP="00D9674E">
    <w:pPr>
      <w:tabs>
        <w:tab w:val="left" w:pos="5190"/>
      </w:tabs>
      <w:spacing w:before="0" w:line="240" w:lineRule="auto"/>
      <w:jc w:val="center"/>
      <w:rPr>
        <w:rFonts w:ascii="Calibri" w:hAnsi="Calibri" w:cs="Arial"/>
        <w:b/>
        <w:sz w:val="20"/>
      </w:rPr>
    </w:pPr>
    <w:r>
      <w:rPr>
        <w:rFonts w:ascii="Calibri" w:hAnsi="Calibri" w:cs="Arial"/>
        <w:sz w:val="20"/>
      </w:rPr>
      <w:t xml:space="preserve">                                                                                                                                               </w:t>
    </w:r>
    <w:r w:rsidR="00D9674E" w:rsidRPr="00D9674E">
      <w:rPr>
        <w:rFonts w:ascii="Calibri" w:hAnsi="Calibri" w:cs="Arial"/>
        <w:b/>
        <w:sz w:val="20"/>
      </w:rPr>
      <w:t>RPDS.03.03.02-IP.01-02-367/19</w:t>
    </w:r>
  </w:p>
  <w:p w14:paraId="42AD516F" w14:textId="6797BEDB" w:rsidR="00C0278F" w:rsidRPr="00CF240C" w:rsidRDefault="00C0278F" w:rsidP="00D9674E">
    <w:pPr>
      <w:tabs>
        <w:tab w:val="left" w:pos="5190"/>
      </w:tabs>
      <w:spacing w:before="0" w:line="240" w:lineRule="auto"/>
      <w:jc w:val="center"/>
      <w:rPr>
        <w:rFonts w:asciiTheme="minorHAnsi" w:hAnsi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37D190F"/>
    <w:multiLevelType w:val="hybridMultilevel"/>
    <w:tmpl w:val="E9DA0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9"/>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8"/>
  </w:num>
  <w:num w:numId="8">
    <w:abstractNumId w:val="10"/>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167BD"/>
    <w:rsid w:val="00026AB3"/>
    <w:rsid w:val="00027BD7"/>
    <w:rsid w:val="0006794A"/>
    <w:rsid w:val="00094C3F"/>
    <w:rsid w:val="000C57E0"/>
    <w:rsid w:val="000D2E5C"/>
    <w:rsid w:val="000F5C98"/>
    <w:rsid w:val="00114550"/>
    <w:rsid w:val="0011515E"/>
    <w:rsid w:val="00141571"/>
    <w:rsid w:val="00151BAD"/>
    <w:rsid w:val="0015486C"/>
    <w:rsid w:val="0015550B"/>
    <w:rsid w:val="00155D4E"/>
    <w:rsid w:val="0017262A"/>
    <w:rsid w:val="0019058D"/>
    <w:rsid w:val="00191605"/>
    <w:rsid w:val="001932A6"/>
    <w:rsid w:val="001B7345"/>
    <w:rsid w:val="001C4F9E"/>
    <w:rsid w:val="001C7885"/>
    <w:rsid w:val="0020180C"/>
    <w:rsid w:val="002320F4"/>
    <w:rsid w:val="00243817"/>
    <w:rsid w:val="00246A66"/>
    <w:rsid w:val="00253FAA"/>
    <w:rsid w:val="0026298C"/>
    <w:rsid w:val="002835B6"/>
    <w:rsid w:val="002972E4"/>
    <w:rsid w:val="002A36BE"/>
    <w:rsid w:val="002A537C"/>
    <w:rsid w:val="002D5507"/>
    <w:rsid w:val="002E6E1E"/>
    <w:rsid w:val="002F6273"/>
    <w:rsid w:val="00304DDB"/>
    <w:rsid w:val="0032304F"/>
    <w:rsid w:val="00323264"/>
    <w:rsid w:val="0032765F"/>
    <w:rsid w:val="00327D85"/>
    <w:rsid w:val="00332CDB"/>
    <w:rsid w:val="00340A6B"/>
    <w:rsid w:val="00346FD6"/>
    <w:rsid w:val="00363BBA"/>
    <w:rsid w:val="00370466"/>
    <w:rsid w:val="003C55C7"/>
    <w:rsid w:val="003D2C3D"/>
    <w:rsid w:val="003D3BC5"/>
    <w:rsid w:val="003D5C89"/>
    <w:rsid w:val="003E7930"/>
    <w:rsid w:val="003F1889"/>
    <w:rsid w:val="004059B1"/>
    <w:rsid w:val="0041446A"/>
    <w:rsid w:val="00421C29"/>
    <w:rsid w:val="0042602E"/>
    <w:rsid w:val="00426168"/>
    <w:rsid w:val="00433A72"/>
    <w:rsid w:val="0046263E"/>
    <w:rsid w:val="00471B0C"/>
    <w:rsid w:val="00475728"/>
    <w:rsid w:val="00476947"/>
    <w:rsid w:val="004A4593"/>
    <w:rsid w:val="004B303A"/>
    <w:rsid w:val="004F2D8E"/>
    <w:rsid w:val="004F6746"/>
    <w:rsid w:val="005038EA"/>
    <w:rsid w:val="00504998"/>
    <w:rsid w:val="00516B06"/>
    <w:rsid w:val="00522930"/>
    <w:rsid w:val="0052529C"/>
    <w:rsid w:val="00530BAE"/>
    <w:rsid w:val="00535E8F"/>
    <w:rsid w:val="00555321"/>
    <w:rsid w:val="00562F10"/>
    <w:rsid w:val="005657D8"/>
    <w:rsid w:val="005E16D7"/>
    <w:rsid w:val="005F02A1"/>
    <w:rsid w:val="005F0E5F"/>
    <w:rsid w:val="0060140B"/>
    <w:rsid w:val="0061342E"/>
    <w:rsid w:val="00620A45"/>
    <w:rsid w:val="00630C8E"/>
    <w:rsid w:val="00635DB0"/>
    <w:rsid w:val="00647E9F"/>
    <w:rsid w:val="006647E2"/>
    <w:rsid w:val="006A00D7"/>
    <w:rsid w:val="006A049D"/>
    <w:rsid w:val="006A09F0"/>
    <w:rsid w:val="006C652C"/>
    <w:rsid w:val="00701E65"/>
    <w:rsid w:val="00704B1F"/>
    <w:rsid w:val="00704D10"/>
    <w:rsid w:val="0072791E"/>
    <w:rsid w:val="007300ED"/>
    <w:rsid w:val="00741B27"/>
    <w:rsid w:val="007650AC"/>
    <w:rsid w:val="00766AC5"/>
    <w:rsid w:val="007704B3"/>
    <w:rsid w:val="007707F9"/>
    <w:rsid w:val="007801FE"/>
    <w:rsid w:val="00781388"/>
    <w:rsid w:val="00787387"/>
    <w:rsid w:val="007B5608"/>
    <w:rsid w:val="007B7577"/>
    <w:rsid w:val="007D1CF1"/>
    <w:rsid w:val="007D7DE7"/>
    <w:rsid w:val="007E025A"/>
    <w:rsid w:val="007E18A9"/>
    <w:rsid w:val="007E6D53"/>
    <w:rsid w:val="007E73B8"/>
    <w:rsid w:val="00801546"/>
    <w:rsid w:val="0083665B"/>
    <w:rsid w:val="00855888"/>
    <w:rsid w:val="00883644"/>
    <w:rsid w:val="008869B8"/>
    <w:rsid w:val="00890B1A"/>
    <w:rsid w:val="008A09D1"/>
    <w:rsid w:val="008A195C"/>
    <w:rsid w:val="008A5B45"/>
    <w:rsid w:val="008B21E1"/>
    <w:rsid w:val="008B2B8D"/>
    <w:rsid w:val="008B73B1"/>
    <w:rsid w:val="008C0973"/>
    <w:rsid w:val="008C2482"/>
    <w:rsid w:val="008C495E"/>
    <w:rsid w:val="008D01B4"/>
    <w:rsid w:val="008E26DA"/>
    <w:rsid w:val="008E3F0D"/>
    <w:rsid w:val="008F6F43"/>
    <w:rsid w:val="009024D3"/>
    <w:rsid w:val="00902C07"/>
    <w:rsid w:val="00904EC5"/>
    <w:rsid w:val="00911273"/>
    <w:rsid w:val="00934566"/>
    <w:rsid w:val="009456DB"/>
    <w:rsid w:val="00963759"/>
    <w:rsid w:val="00970A9F"/>
    <w:rsid w:val="009A5838"/>
    <w:rsid w:val="009D04DE"/>
    <w:rsid w:val="009D3C56"/>
    <w:rsid w:val="009E5D68"/>
    <w:rsid w:val="009E65D0"/>
    <w:rsid w:val="00A214C1"/>
    <w:rsid w:val="00A22869"/>
    <w:rsid w:val="00A409C8"/>
    <w:rsid w:val="00AB2D7A"/>
    <w:rsid w:val="00AD2437"/>
    <w:rsid w:val="00AF7C30"/>
    <w:rsid w:val="00B02A77"/>
    <w:rsid w:val="00B204DD"/>
    <w:rsid w:val="00B235B0"/>
    <w:rsid w:val="00B34C2E"/>
    <w:rsid w:val="00B62CD5"/>
    <w:rsid w:val="00B65B2E"/>
    <w:rsid w:val="00B70020"/>
    <w:rsid w:val="00B70A62"/>
    <w:rsid w:val="00B80838"/>
    <w:rsid w:val="00B83A65"/>
    <w:rsid w:val="00B840A9"/>
    <w:rsid w:val="00B87C4A"/>
    <w:rsid w:val="00B92DA6"/>
    <w:rsid w:val="00BA1B89"/>
    <w:rsid w:val="00BC03CE"/>
    <w:rsid w:val="00BC0A96"/>
    <w:rsid w:val="00BF3553"/>
    <w:rsid w:val="00C0278F"/>
    <w:rsid w:val="00C063C7"/>
    <w:rsid w:val="00C10532"/>
    <w:rsid w:val="00C3099E"/>
    <w:rsid w:val="00C31711"/>
    <w:rsid w:val="00C33C8B"/>
    <w:rsid w:val="00C40E8D"/>
    <w:rsid w:val="00C71210"/>
    <w:rsid w:val="00C746A8"/>
    <w:rsid w:val="00C8517F"/>
    <w:rsid w:val="00C90F5E"/>
    <w:rsid w:val="00C97EA0"/>
    <w:rsid w:val="00CC5D9D"/>
    <w:rsid w:val="00CC7758"/>
    <w:rsid w:val="00CE4F58"/>
    <w:rsid w:val="00CE73BE"/>
    <w:rsid w:val="00CF240C"/>
    <w:rsid w:val="00CF69D1"/>
    <w:rsid w:val="00D03CAB"/>
    <w:rsid w:val="00D11CB4"/>
    <w:rsid w:val="00D11E26"/>
    <w:rsid w:val="00D442FF"/>
    <w:rsid w:val="00D5098A"/>
    <w:rsid w:val="00D50C00"/>
    <w:rsid w:val="00D52C48"/>
    <w:rsid w:val="00D67100"/>
    <w:rsid w:val="00D72161"/>
    <w:rsid w:val="00D721EE"/>
    <w:rsid w:val="00D93881"/>
    <w:rsid w:val="00D9674E"/>
    <w:rsid w:val="00DB30EE"/>
    <w:rsid w:val="00DC565A"/>
    <w:rsid w:val="00DC686F"/>
    <w:rsid w:val="00DF026C"/>
    <w:rsid w:val="00DF6D97"/>
    <w:rsid w:val="00E1138F"/>
    <w:rsid w:val="00E209AD"/>
    <w:rsid w:val="00E32B6F"/>
    <w:rsid w:val="00E34254"/>
    <w:rsid w:val="00E41403"/>
    <w:rsid w:val="00E428FC"/>
    <w:rsid w:val="00E47419"/>
    <w:rsid w:val="00E50219"/>
    <w:rsid w:val="00E61834"/>
    <w:rsid w:val="00E61DFB"/>
    <w:rsid w:val="00E721CF"/>
    <w:rsid w:val="00E72468"/>
    <w:rsid w:val="00E80A29"/>
    <w:rsid w:val="00E90CA0"/>
    <w:rsid w:val="00E93BEA"/>
    <w:rsid w:val="00EA49EC"/>
    <w:rsid w:val="00EA68D3"/>
    <w:rsid w:val="00ED29D0"/>
    <w:rsid w:val="00EE4C8C"/>
    <w:rsid w:val="00EF7D56"/>
    <w:rsid w:val="00F02218"/>
    <w:rsid w:val="00F0518D"/>
    <w:rsid w:val="00F11106"/>
    <w:rsid w:val="00F45129"/>
    <w:rsid w:val="00F458CA"/>
    <w:rsid w:val="00F53C61"/>
    <w:rsid w:val="00F61B14"/>
    <w:rsid w:val="00F823C0"/>
    <w:rsid w:val="00F845E8"/>
    <w:rsid w:val="00FA0CF9"/>
    <w:rsid w:val="00FB5F16"/>
    <w:rsid w:val="00FB6A45"/>
    <w:rsid w:val="00FC6B1D"/>
    <w:rsid w:val="00FE1E99"/>
    <w:rsid w:val="00FE7037"/>
    <w:rsid w:val="00FF39E0"/>
    <w:rsid w:val="00FF6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4DF62"/>
  <w15:docId w15:val="{1DF1C65E-A03A-4059-8689-7B9D59E9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416563048">
      <w:bodyDiv w:val="1"/>
      <w:marLeft w:val="0"/>
      <w:marRight w:val="0"/>
      <w:marTop w:val="0"/>
      <w:marBottom w:val="0"/>
      <w:divBdr>
        <w:top w:val="none" w:sz="0" w:space="0" w:color="auto"/>
        <w:left w:val="none" w:sz="0" w:space="0" w:color="auto"/>
        <w:bottom w:val="none" w:sz="0" w:space="0" w:color="auto"/>
        <w:right w:val="none" w:sz="0" w:space="0" w:color="auto"/>
      </w:divBdr>
    </w:div>
    <w:div w:id="432435746">
      <w:bodyDiv w:val="1"/>
      <w:marLeft w:val="0"/>
      <w:marRight w:val="0"/>
      <w:marTop w:val="0"/>
      <w:marBottom w:val="0"/>
      <w:divBdr>
        <w:top w:val="none" w:sz="0" w:space="0" w:color="auto"/>
        <w:left w:val="none" w:sz="0" w:space="0" w:color="auto"/>
        <w:bottom w:val="none" w:sz="0" w:space="0" w:color="auto"/>
        <w:right w:val="none" w:sz="0" w:space="0" w:color="auto"/>
      </w:divBdr>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470942450">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694120005">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9198738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227371837">
      <w:bodyDiv w:val="1"/>
      <w:marLeft w:val="0"/>
      <w:marRight w:val="0"/>
      <w:marTop w:val="0"/>
      <w:marBottom w:val="0"/>
      <w:divBdr>
        <w:top w:val="none" w:sz="0" w:space="0" w:color="auto"/>
        <w:left w:val="none" w:sz="0" w:space="0" w:color="auto"/>
        <w:bottom w:val="none" w:sz="0" w:space="0" w:color="auto"/>
        <w:right w:val="none" w:sz="0" w:space="0" w:color="auto"/>
      </w:divBdr>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569611060">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760">
      <w:bodyDiv w:val="1"/>
      <w:marLeft w:val="0"/>
      <w:marRight w:val="0"/>
      <w:marTop w:val="0"/>
      <w:marBottom w:val="0"/>
      <w:divBdr>
        <w:top w:val="none" w:sz="0" w:space="0" w:color="auto"/>
        <w:left w:val="none" w:sz="0" w:space="0" w:color="auto"/>
        <w:bottom w:val="none" w:sz="0" w:space="0" w:color="auto"/>
        <w:right w:val="none" w:sz="0" w:space="0" w:color="auto"/>
      </w:divBdr>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 w:id="2061586608">
      <w:bodyDiv w:val="1"/>
      <w:marLeft w:val="0"/>
      <w:marRight w:val="0"/>
      <w:marTop w:val="0"/>
      <w:marBottom w:val="0"/>
      <w:divBdr>
        <w:top w:val="none" w:sz="0" w:space="0" w:color="auto"/>
        <w:left w:val="none" w:sz="0" w:space="0" w:color="auto"/>
        <w:bottom w:val="none" w:sz="0" w:space="0" w:color="auto"/>
        <w:right w:val="none" w:sz="0" w:space="0" w:color="auto"/>
      </w:divBdr>
    </w:div>
    <w:div w:id="20819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D900-EA3F-4C7A-90AD-4B58DE3D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2807</Words>
  <Characters>16848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Sylwia Gacek</cp:lastModifiedBy>
  <cp:revision>4</cp:revision>
  <cp:lastPrinted>2016-09-28T11:50:00Z</cp:lastPrinted>
  <dcterms:created xsi:type="dcterms:W3CDTF">2018-11-05T13:54:00Z</dcterms:created>
  <dcterms:modified xsi:type="dcterms:W3CDTF">2019-11-29T13:27:00Z</dcterms:modified>
</cp:coreProperties>
</file>